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6D1" w14:textId="77777777" w:rsidR="007777EC" w:rsidRPr="00CE693D" w:rsidRDefault="007777EC" w:rsidP="00CE693D">
      <w:pPr>
        <w:spacing w:before="1588" w:after="567"/>
        <w:rPr>
          <w:rFonts w:ascii="Times New Roman" w:hAnsi="Times New Roman" w:cs="Times New Roman"/>
          <w:b/>
          <w:bCs/>
          <w:sz w:val="34"/>
          <w:szCs w:val="34"/>
        </w:rPr>
      </w:pPr>
      <w:r w:rsidRPr="00CE693D">
        <w:rPr>
          <w:rFonts w:ascii="Times New Roman" w:hAnsi="Times New Roman" w:cs="Times New Roman"/>
          <w:b/>
          <w:bCs/>
          <w:sz w:val="34"/>
          <w:szCs w:val="34"/>
        </w:rPr>
        <w:t>The influence of modification by superdispersed powders on the lead-tin-base bronze structure</w:t>
      </w:r>
    </w:p>
    <w:p w14:paraId="6A45AF64" w14:textId="77777777" w:rsidR="007777EC" w:rsidRPr="008109EB" w:rsidRDefault="007777EC" w:rsidP="00CE693D">
      <w:pPr>
        <w:ind w:left="1418"/>
        <w:rPr>
          <w:rFonts w:ascii="Times New Roman" w:hAnsi="Times New Roman" w:cs="Times New Roman"/>
          <w:b/>
          <w:bCs/>
          <w:vertAlign w:val="superscript"/>
          <w:lang w:val="en-US"/>
        </w:rPr>
      </w:pPr>
      <w:r>
        <w:rPr>
          <w:rFonts w:ascii="Times New Roman" w:hAnsi="Times New Roman" w:cs="Times New Roman"/>
          <w:b/>
          <w:bCs/>
          <w:lang w:val="en-US"/>
        </w:rPr>
        <w:t>S V</w:t>
      </w:r>
      <w:r w:rsidRPr="00F84D74">
        <w:rPr>
          <w:rFonts w:ascii="Times New Roman" w:hAnsi="Times New Roman" w:cs="Times New Roman"/>
          <w:b/>
          <w:bCs/>
          <w:lang w:val="en-US"/>
        </w:rPr>
        <w:t xml:space="preserve"> </w:t>
      </w:r>
      <w:r>
        <w:rPr>
          <w:rFonts w:ascii="Times New Roman" w:hAnsi="Times New Roman" w:cs="Times New Roman"/>
          <w:b/>
          <w:bCs/>
          <w:lang w:val="en-US"/>
        </w:rPr>
        <w:t>Petrov</w:t>
      </w:r>
      <w:r w:rsidRPr="008109EB">
        <w:rPr>
          <w:rFonts w:ascii="Times New Roman" w:hAnsi="Times New Roman" w:cs="Times New Roman"/>
          <w:vertAlign w:val="superscript"/>
          <w:lang w:val="en-US"/>
        </w:rPr>
        <w:t>1</w:t>
      </w:r>
      <w:r>
        <w:rPr>
          <w:rFonts w:ascii="Times New Roman" w:hAnsi="Times New Roman" w:cs="Times New Roman"/>
          <w:b/>
          <w:bCs/>
          <w:lang w:val="en-US"/>
        </w:rPr>
        <w:t>,</w:t>
      </w:r>
      <w:r w:rsidRPr="00F84D74">
        <w:rPr>
          <w:rFonts w:ascii="Times New Roman" w:hAnsi="Times New Roman" w:cs="Times New Roman"/>
          <w:b/>
          <w:bCs/>
          <w:lang w:val="en-US"/>
        </w:rPr>
        <w:t xml:space="preserve"> </w:t>
      </w:r>
      <w:r>
        <w:rPr>
          <w:rFonts w:ascii="Times New Roman" w:hAnsi="Times New Roman" w:cs="Times New Roman"/>
          <w:b/>
          <w:bCs/>
          <w:lang w:val="en-US"/>
        </w:rPr>
        <w:t>N S</w:t>
      </w:r>
      <w:r w:rsidRPr="00F84D74">
        <w:rPr>
          <w:rFonts w:ascii="Times New Roman" w:hAnsi="Times New Roman" w:cs="Times New Roman"/>
          <w:b/>
          <w:bCs/>
          <w:lang w:val="en-US"/>
        </w:rPr>
        <w:t xml:space="preserve"> </w:t>
      </w:r>
      <w:r>
        <w:rPr>
          <w:rFonts w:ascii="Times New Roman" w:hAnsi="Times New Roman" w:cs="Times New Roman"/>
          <w:b/>
          <w:bCs/>
          <w:lang w:val="en-US"/>
        </w:rPr>
        <w:t>Sidorov</w:t>
      </w:r>
      <w:r w:rsidRPr="008109EB">
        <w:rPr>
          <w:rFonts w:ascii="Times New Roman" w:hAnsi="Times New Roman" w:cs="Times New Roman"/>
          <w:vertAlign w:val="superscript"/>
          <w:lang w:val="en-US"/>
        </w:rPr>
        <w:t>1</w:t>
      </w:r>
      <w:r w:rsidRPr="00F84D74">
        <w:rPr>
          <w:rFonts w:ascii="Times New Roman" w:hAnsi="Times New Roman" w:cs="Times New Roman"/>
          <w:b/>
          <w:bCs/>
          <w:lang w:val="en-US"/>
        </w:rPr>
        <w:t xml:space="preserve">, </w:t>
      </w:r>
      <w:r w:rsidRPr="00465861">
        <w:rPr>
          <w:rFonts w:ascii="Times New Roman" w:hAnsi="Times New Roman" w:cs="Times New Roman"/>
          <w:b/>
          <w:bCs/>
          <w:lang w:val="en-US"/>
        </w:rPr>
        <w:t>A</w:t>
      </w:r>
      <w:r>
        <w:rPr>
          <w:rFonts w:ascii="Times New Roman" w:hAnsi="Times New Roman" w:cs="Times New Roman"/>
          <w:b/>
          <w:bCs/>
          <w:lang w:val="en-US"/>
        </w:rPr>
        <w:t xml:space="preserve"> A Vorohov</w:t>
      </w:r>
      <w:r w:rsidRPr="008109EB">
        <w:rPr>
          <w:rFonts w:ascii="Times New Roman" w:hAnsi="Times New Roman" w:cs="Times New Roman"/>
          <w:vertAlign w:val="superscript"/>
          <w:lang w:val="en-US"/>
        </w:rPr>
        <w:t>2</w:t>
      </w:r>
    </w:p>
    <w:p w14:paraId="0E666EE7" w14:textId="77777777" w:rsidR="007777EC" w:rsidRPr="00263D98" w:rsidRDefault="007777EC" w:rsidP="0083520C">
      <w:pPr>
        <w:ind w:left="1418"/>
        <w:jc w:val="both"/>
        <w:rPr>
          <w:rFonts w:ascii="Times New Roman" w:hAnsi="Times New Roman" w:cs="Times New Roman"/>
          <w:vertAlign w:val="superscript"/>
          <w:lang w:val="en-US"/>
        </w:rPr>
      </w:pPr>
    </w:p>
    <w:p w14:paraId="0AB94E5E" w14:textId="1E4A9CEC"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1</w:t>
      </w:r>
      <w:r w:rsidRPr="00B972B8">
        <w:rPr>
          <w:rFonts w:ascii="Times New Roman" w:hAnsi="Times New Roman" w:cs="Times New Roman"/>
        </w:rPr>
        <w:t xml:space="preserve"> </w:t>
      </w:r>
      <w:r w:rsidR="007D7B06" w:rsidRPr="007D7B06">
        <w:rPr>
          <w:rFonts w:ascii="Times New Roman" w:hAnsi="Times New Roman" w:cs="Times New Roman"/>
          <w:lang w:val="en-US"/>
        </w:rPr>
        <w:t>Department of Publishing Information Technologies, Lviv Polytechnic National University</w:t>
      </w:r>
      <w:r w:rsidRPr="00B972B8">
        <w:rPr>
          <w:rFonts w:ascii="Times New Roman" w:hAnsi="Times New Roman" w:cs="Times New Roman"/>
          <w:lang w:val="en-US"/>
        </w:rPr>
        <w:t xml:space="preserve">, </w:t>
      </w:r>
      <w:r w:rsidR="007D7B06" w:rsidRPr="007D7B06">
        <w:rPr>
          <w:rFonts w:ascii="Times New Roman" w:hAnsi="Times New Roman" w:cs="Times New Roman"/>
          <w:lang w:val="en-US"/>
        </w:rPr>
        <w:t>12,</w:t>
      </w:r>
      <w:r w:rsidR="007D7B06">
        <w:rPr>
          <w:rFonts w:ascii="Times New Roman" w:hAnsi="Times New Roman" w:cs="Times New Roman"/>
          <w:lang w:val="en-US"/>
        </w:rPr>
        <w:t xml:space="preserve"> </w:t>
      </w:r>
      <w:r w:rsidR="007D7B06" w:rsidRPr="007D7B06">
        <w:rPr>
          <w:rFonts w:ascii="Times New Roman" w:hAnsi="Times New Roman" w:cs="Times New Roman"/>
          <w:lang w:val="en-US"/>
        </w:rPr>
        <w:t>Stepana Bandery St, Lviv, Lviv Oblast, 79010</w:t>
      </w:r>
      <w:r w:rsidR="007D7B06">
        <w:rPr>
          <w:rFonts w:ascii="Times New Roman" w:hAnsi="Times New Roman" w:cs="Times New Roman"/>
          <w:lang w:val="en-US"/>
        </w:rPr>
        <w:t>,</w:t>
      </w:r>
      <w:r w:rsidR="007D7B06" w:rsidRPr="007D7B06">
        <w:rPr>
          <w:rFonts w:ascii="Times New Roman" w:hAnsi="Times New Roman" w:cs="Times New Roman"/>
          <w:lang w:val="en-US"/>
        </w:rPr>
        <w:t xml:space="preserve"> Ukraine</w:t>
      </w:r>
      <w:r w:rsidR="007D7B06">
        <w:rPr>
          <w:rFonts w:ascii="Times New Roman" w:hAnsi="Times New Roman" w:cs="Times New Roman"/>
          <w:lang w:val="en-US"/>
        </w:rPr>
        <w:t>.</w:t>
      </w:r>
    </w:p>
    <w:p w14:paraId="02001357" w14:textId="624CD5B5"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2</w:t>
      </w:r>
      <w:r w:rsidRPr="00B972B8">
        <w:rPr>
          <w:rFonts w:ascii="Times New Roman" w:hAnsi="Times New Roman" w:cs="Times New Roman"/>
          <w:lang w:val="en-US"/>
        </w:rPr>
        <w:t xml:space="preserve"> </w:t>
      </w:r>
      <w:r w:rsidR="007D7B06" w:rsidRPr="007D7B06">
        <w:rPr>
          <w:rFonts w:ascii="Times New Roman" w:hAnsi="Times New Roman" w:cs="Times New Roman"/>
          <w:lang w:val="en-US"/>
        </w:rPr>
        <w:t>Department of obstetrics and gynecology, Danylo Halytsky Lviv National Medical University</w:t>
      </w:r>
      <w:r w:rsidRPr="00C21468">
        <w:rPr>
          <w:rFonts w:ascii="Times New Roman" w:hAnsi="Times New Roman" w:cs="Times New Roman"/>
        </w:rPr>
        <w:t>,</w:t>
      </w:r>
      <w:r w:rsidR="007D7B06" w:rsidRPr="007D7B06">
        <w:rPr>
          <w:rFonts w:ascii="Times New Roman" w:hAnsi="Times New Roman" w:cs="Times New Roman"/>
          <w:lang w:val="en-US"/>
        </w:rPr>
        <w:t xml:space="preserve"> </w:t>
      </w:r>
      <w:r w:rsidR="007D7B06" w:rsidRPr="007D7B06">
        <w:rPr>
          <w:rFonts w:ascii="Times New Roman" w:hAnsi="Times New Roman" w:cs="Times New Roman"/>
          <w:lang w:val="en-US"/>
        </w:rPr>
        <w:t>69</w:t>
      </w:r>
      <w:r w:rsidRPr="00C21468">
        <w:rPr>
          <w:rFonts w:ascii="Times New Roman" w:hAnsi="Times New Roman" w:cs="Times New Roman"/>
        </w:rPr>
        <w:t xml:space="preserve"> </w:t>
      </w:r>
      <w:r w:rsidR="007D7B06" w:rsidRPr="007D7B06">
        <w:rPr>
          <w:rFonts w:ascii="Times New Roman" w:hAnsi="Times New Roman" w:cs="Times New Roman"/>
          <w:lang w:val="en-US"/>
        </w:rPr>
        <w:t>Pekarska St, Lviv, Lviv Oblast, 79010</w:t>
      </w:r>
      <w:r w:rsidR="007D7B06">
        <w:rPr>
          <w:rFonts w:ascii="Times New Roman" w:hAnsi="Times New Roman" w:cs="Times New Roman"/>
          <w:lang w:val="en-US"/>
        </w:rPr>
        <w:t>,</w:t>
      </w:r>
      <w:r w:rsidR="007D7B06" w:rsidRPr="007D7B06">
        <w:rPr>
          <w:rFonts w:ascii="Times New Roman" w:hAnsi="Times New Roman" w:cs="Times New Roman"/>
          <w:lang w:val="en-US"/>
        </w:rPr>
        <w:t xml:space="preserve"> </w:t>
      </w:r>
      <w:r w:rsidR="007D7B06" w:rsidRPr="007D7B06">
        <w:rPr>
          <w:rFonts w:ascii="Times New Roman" w:hAnsi="Times New Roman" w:cs="Times New Roman"/>
          <w:lang w:val="en-US"/>
        </w:rPr>
        <w:t>Ukraine</w:t>
      </w:r>
      <w:r w:rsidR="007D7B06">
        <w:rPr>
          <w:rFonts w:ascii="Times New Roman" w:hAnsi="Times New Roman" w:cs="Times New Roman"/>
          <w:lang w:val="en-US"/>
        </w:rPr>
        <w:t>.</w:t>
      </w:r>
    </w:p>
    <w:p w14:paraId="57F2A401" w14:textId="77777777" w:rsidR="007777EC" w:rsidRPr="00F84D74" w:rsidRDefault="007777EC" w:rsidP="00F84D74">
      <w:pPr>
        <w:ind w:left="1418"/>
        <w:rPr>
          <w:rFonts w:ascii="Times New Roman" w:hAnsi="Times New Roman" w:cs="Times New Roman"/>
          <w:shd w:val="clear" w:color="auto" w:fill="FFFFFF"/>
          <w:lang w:val="en-US"/>
        </w:rPr>
      </w:pPr>
    </w:p>
    <w:p w14:paraId="128AAB6F" w14:textId="7EFBA669" w:rsidR="007777EC" w:rsidRPr="000A7699" w:rsidRDefault="007777EC" w:rsidP="00F84D74">
      <w:pPr>
        <w:ind w:left="1418"/>
        <w:rPr>
          <w:rFonts w:ascii="Times New Roman" w:hAnsi="Times New Roman" w:cs="Times New Roman"/>
          <w:lang w:val="fr-FR"/>
        </w:rPr>
      </w:pPr>
      <w:r w:rsidRPr="000A7699">
        <w:rPr>
          <w:rFonts w:ascii="Times New Roman" w:hAnsi="Times New Roman" w:cs="Times New Roman"/>
          <w:lang w:val="fr-FR"/>
        </w:rPr>
        <w:t xml:space="preserve">E-mail: </w:t>
      </w:r>
      <w:hyperlink r:id="rId7" w:history="1">
        <w:r w:rsidRPr="00A5615E">
          <w:rPr>
            <w:rStyle w:val="ac"/>
            <w:rFonts w:ascii="Times New Roman" w:hAnsi="Times New Roman" w:cs="Times New Roman"/>
            <w:lang w:val="fr-FR"/>
          </w:rPr>
          <w:t>Petrov@</w:t>
        </w:r>
        <w:r w:rsidR="007D7B06">
          <w:rPr>
            <w:rStyle w:val="ac"/>
            <w:rFonts w:ascii="Times New Roman" w:hAnsi="Times New Roman" w:cs="Times New Roman"/>
            <w:lang w:val="fr-FR"/>
          </w:rPr>
          <w:t>gmail.com</w:t>
        </w:r>
      </w:hyperlink>
      <w:r w:rsidRPr="000A7699">
        <w:rPr>
          <w:rFonts w:ascii="Times New Roman" w:hAnsi="Times New Roman" w:cs="Times New Roman"/>
          <w:lang w:val="fr-FR"/>
        </w:rPr>
        <w:t xml:space="preserve"> </w:t>
      </w:r>
    </w:p>
    <w:p w14:paraId="6CDF8F79" w14:textId="77777777" w:rsidR="007777EC" w:rsidRDefault="007777EC" w:rsidP="00F84D74">
      <w:pPr>
        <w:ind w:left="1418"/>
        <w:jc w:val="both"/>
        <w:rPr>
          <w:rFonts w:ascii="Times New Roman" w:hAnsi="Times New Roman" w:cs="Times New Roman"/>
          <w:b/>
          <w:bCs/>
          <w:sz w:val="20"/>
          <w:szCs w:val="20"/>
          <w:lang w:val="fr-FR"/>
        </w:rPr>
      </w:pPr>
    </w:p>
    <w:p w14:paraId="5790001A" w14:textId="77777777" w:rsidR="007777EC" w:rsidRPr="00DF75CB" w:rsidRDefault="007777EC" w:rsidP="00FD2E3C">
      <w:pPr>
        <w:spacing w:after="568"/>
        <w:ind w:left="1418"/>
        <w:jc w:val="both"/>
        <w:rPr>
          <w:rFonts w:ascii="Times New Roman" w:hAnsi="Times New Roman" w:cs="Times New Roman"/>
          <w:sz w:val="20"/>
          <w:szCs w:val="20"/>
          <w:lang w:val="en-US"/>
        </w:rPr>
      </w:pPr>
      <w:r w:rsidRPr="00DF75CB">
        <w:rPr>
          <w:rFonts w:ascii="Times New Roman" w:hAnsi="Times New Roman" w:cs="Times New Roman"/>
          <w:b/>
          <w:bCs/>
          <w:sz w:val="20"/>
          <w:szCs w:val="20"/>
          <w:lang w:val="en-US"/>
        </w:rPr>
        <w:t>Abstract</w:t>
      </w:r>
      <w:r w:rsidRPr="00DF75CB">
        <w:rPr>
          <w:rFonts w:ascii="Times New Roman" w:hAnsi="Times New Roman" w:cs="Times New Roman"/>
          <w:sz w:val="20"/>
          <w:szCs w:val="20"/>
          <w:lang w:val="en-US"/>
        </w:rPr>
        <w:t>. The paper presents data on the influence of additives of the pre-treated aluminium oxide powder on the structure of cast lead-tin-based bronzes. Different quantities of the modifier, based on the superdispersed aluminum oxide powder, were added to the bronze melt. The studies have shown that addition of a small amount of aluminum oxide powder (0.07</w:t>
      </w:r>
      <w:r>
        <w:rPr>
          <w:rFonts w:ascii="Times New Roman" w:hAnsi="Times New Roman" w:cs="Times New Roman"/>
          <w:sz w:val="20"/>
          <w:szCs w:val="20"/>
          <w:lang w:val="en-US"/>
        </w:rPr>
        <w:t>…</w:t>
      </w:r>
      <w:r w:rsidRPr="00DF75CB">
        <w:rPr>
          <w:rFonts w:ascii="Times New Roman" w:hAnsi="Times New Roman" w:cs="Times New Roman"/>
          <w:sz w:val="20"/>
          <w:szCs w:val="20"/>
          <w:lang w:val="en-US"/>
        </w:rPr>
        <w:t>0.25</w:t>
      </w:r>
      <w:r>
        <w:rPr>
          <w:rFonts w:ascii="Times New Roman" w:hAnsi="Times New Roman" w:cs="Times New Roman"/>
          <w:sz w:val="20"/>
          <w:szCs w:val="20"/>
          <w:lang w:val="en-US"/>
        </w:rPr>
        <w:t> </w:t>
      </w:r>
      <w:r w:rsidRPr="00DF75CB">
        <w:rPr>
          <w:rFonts w:ascii="Times New Roman" w:hAnsi="Times New Roman" w:cs="Times New Roman"/>
          <w:sz w:val="20"/>
          <w:szCs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cs="Times New Roman"/>
          <w:sz w:val="20"/>
          <w:szCs w:val="20"/>
          <w:vertAlign w:val="subscript"/>
          <w:lang w:val="en-US"/>
        </w:rPr>
        <w:t>31</w:t>
      </w:r>
      <w:r w:rsidRPr="00DF75CB">
        <w:rPr>
          <w:rFonts w:ascii="Times New Roman" w:hAnsi="Times New Roman" w:cs="Times New Roman"/>
          <w:sz w:val="20"/>
          <w:szCs w:val="20"/>
          <w:lang w:val="en-US"/>
        </w:rPr>
        <w:t>Sn</w:t>
      </w:r>
      <w:r w:rsidRPr="00DF75CB">
        <w:rPr>
          <w:rFonts w:ascii="Times New Roman" w:hAnsi="Times New Roman" w:cs="Times New Roman"/>
          <w:sz w:val="20"/>
          <w:szCs w:val="20"/>
          <w:vertAlign w:val="subscript"/>
          <w:lang w:val="en-US"/>
        </w:rPr>
        <w:t>8</w:t>
      </w:r>
      <w:r w:rsidRPr="00DF75CB">
        <w:rPr>
          <w:rFonts w:ascii="Times New Roman" w:hAnsi="Times New Roman" w:cs="Times New Roman"/>
          <w:sz w:val="20"/>
          <w:szCs w:val="20"/>
          <w:lang w:val="en-US"/>
        </w:rPr>
        <w:t>.</w:t>
      </w:r>
    </w:p>
    <w:p w14:paraId="4A60DC0E" w14:textId="77777777" w:rsidR="007777EC" w:rsidRPr="00DF75CB" w:rsidRDefault="007777EC" w:rsidP="002E5FE9">
      <w:pPr>
        <w:pStyle w:val="Section"/>
        <w:spacing w:before="0"/>
        <w:ind w:left="0"/>
        <w:rPr>
          <w:rFonts w:ascii="Times New Roman" w:hAnsi="Times New Roman" w:cs="Times New Roman"/>
          <w:color w:val="auto"/>
        </w:rPr>
      </w:pPr>
      <w:r w:rsidRPr="00DF75CB">
        <w:rPr>
          <w:rFonts w:ascii="Times New Roman" w:hAnsi="Times New Roman" w:cs="Times New Roman"/>
          <w:color w:val="auto"/>
        </w:rPr>
        <w:t>Introduction</w:t>
      </w:r>
    </w:p>
    <w:p w14:paraId="00E6F389" w14:textId="77777777"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14:paraId="37197835" w14:textId="77777777"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s="Times New Roman"/>
          <w:color w:val="auto"/>
          <w:lang w:val="en-US"/>
        </w:rPr>
        <w:t>[1, 2]. But a mechanism of interaction with lead-tin-based bronzes, as well as the process regularities of such modification, is not studied profoundly. However, such modification of copper alloys is promisi</w:t>
      </w:r>
      <w:r>
        <w:rPr>
          <w:rFonts w:ascii="Times New Roman" w:hAnsi="Times New Roman" w:cs="Times New Roman"/>
          <w:color w:val="auto"/>
          <w:lang w:val="en-US"/>
        </w:rPr>
        <w:t>ng from several points of view.</w:t>
      </w:r>
    </w:p>
    <w:p w14:paraId="67254DE3" w14:textId="77777777"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This paper presents an investigation of the influence of different content of additives of the pre-treated aluminium oxide powder on the structure of lead-tin-base bronze under formation.</w:t>
      </w:r>
    </w:p>
    <w:p w14:paraId="1D29F175" w14:textId="77777777" w:rsidR="007777EC" w:rsidRPr="00DF75CB" w:rsidRDefault="007777EC" w:rsidP="00692F12">
      <w:pPr>
        <w:pStyle w:val="Section"/>
        <w:ind w:left="0"/>
        <w:rPr>
          <w:rFonts w:ascii="Times New Roman" w:hAnsi="Times New Roman" w:cs="Times New Roman"/>
          <w:color w:val="auto"/>
          <w:lang w:val="en-US"/>
        </w:rPr>
      </w:pPr>
      <w:r w:rsidRPr="00DF75CB">
        <w:rPr>
          <w:rFonts w:ascii="Times New Roman" w:hAnsi="Times New Roman" w:cs="Times New Roman"/>
          <w:color w:val="auto"/>
        </w:rPr>
        <w:t>Materials and methods</w:t>
      </w:r>
    </w:p>
    <w:p w14:paraId="6D20CFDF" w14:textId="77777777" w:rsidR="007777EC" w:rsidRPr="00DF75CB" w:rsidRDefault="007777EC" w:rsidP="00FD2E3C">
      <w:pPr>
        <w:pStyle w:val="Reference"/>
        <w:numPr>
          <w:ilvl w:val="0"/>
          <w:numId w:val="0"/>
        </w:numPr>
        <w:rPr>
          <w:rFonts w:ascii="Times New Roman" w:hAnsi="Times New Roman" w:cs="Times New Roman"/>
          <w:color w:val="auto"/>
          <w:lang w:val="en-US"/>
        </w:rPr>
      </w:pPr>
      <w:r w:rsidRPr="00DF75CB">
        <w:rPr>
          <w:rFonts w:ascii="Times New Roman" w:hAnsi="Times New Roman" w:cs="Times New Roman"/>
          <w:lang w:val="en-US"/>
        </w:rPr>
        <w:t xml:space="preserve">The lead-tin-base bronze of the </w:t>
      </w:r>
      <w:r w:rsidRPr="00DF75CB">
        <w:rPr>
          <w:rFonts w:ascii="Times New Roman" w:hAnsi="Times New Roman" w:cs="Times New Roman"/>
          <w:color w:val="auto"/>
          <w:lang w:val="en-US"/>
        </w:rPr>
        <w:t>BrO10S10 grade (Russian grade abbreviation) was used as a material for investigation. This bronze contains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lead,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tin and 80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w:t>
      </w:r>
      <w:r w:rsidRPr="00DF75CB">
        <w:rPr>
          <w:rFonts w:ascii="Times New Roman" w:hAnsi="Times New Roman" w:cs="Times New Roman"/>
          <w:color w:val="auto"/>
          <w:lang w:val="en-US"/>
        </w:rPr>
        <w:lastRenderedPageBreak/>
        <w:t xml:space="preserve">grade. Cathode copper of the </w:t>
      </w:r>
      <w:r w:rsidRPr="00DF75CB">
        <w:rPr>
          <w:rFonts w:ascii="Times New Roman" w:hAnsi="Times New Roman" w:cs="Times New Roman"/>
          <w:color w:val="auto"/>
        </w:rPr>
        <w:t>Mlk</w:t>
      </w:r>
      <w:r w:rsidRPr="00DF75CB">
        <w:rPr>
          <w:rFonts w:ascii="Times New Roman" w:hAnsi="Times New Roman" w:cs="Times New Roman"/>
          <w:color w:val="auto"/>
          <w:lang w:val="en-US"/>
        </w:rPr>
        <w:t xml:space="preserve"> grade (GOST 859-78), sheet lead of the C-2 grade (GOST 3778-77); rod tin of the O1 grade (GOST 860-75) were used as a charge mixture. The phosphorous-copper alloy of the MF1B grade (GOST 4515-93) was used as a deoxidizer. The preliminarily placed in the copper foil powder-modifier was introduced into the melt.</w:t>
      </w:r>
    </w:p>
    <w:p w14:paraId="1ED38AF6" w14:textId="77777777" w:rsidR="007777EC" w:rsidRPr="00DF75CB" w:rsidRDefault="007777EC" w:rsidP="0011306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Pr>
          <w:rFonts w:ascii="Times New Roman" w:hAnsi="Times New Roman" w:cs="Times New Roman"/>
          <w:color w:val="auto"/>
          <w:lang w:val="en-US"/>
        </w:rPr>
        <w:t xml:space="preserve"> </w:t>
      </w:r>
      <w:r w:rsidRPr="00DF75CB">
        <w:rPr>
          <w:rFonts w:ascii="Times New Roman" w:hAnsi="Times New Roman" w:cs="Times New Roman"/>
          <w:color w:val="auto"/>
          <w:lang w:val="en-US"/>
        </w:rPr>
        <w:t xml:space="preserve">4]. The pouring was realised into the graphite moulds at room temperature. The content of the powder was 0.07; 0.15; 0.25; 0.5; 0.75 and 1.5 % wt. </w:t>
      </w:r>
    </w:p>
    <w:p w14:paraId="3486B70A" w14:textId="77777777" w:rsidR="007777EC" w:rsidRPr="00DF75CB" w:rsidRDefault="007777EC" w:rsidP="005046F2">
      <w:pPr>
        <w:pStyle w:val="Section"/>
        <w:ind w:left="0"/>
        <w:rPr>
          <w:rFonts w:ascii="Times New Roman" w:hAnsi="Times New Roman" w:cs="Times New Roman"/>
          <w:color w:val="auto"/>
        </w:rPr>
      </w:pPr>
      <w:r w:rsidRPr="00DF75CB">
        <w:rPr>
          <w:rFonts w:ascii="Times New Roman" w:hAnsi="Times New Roman" w:cs="Times New Roman"/>
          <w:color w:val="auto"/>
        </w:rPr>
        <w:t xml:space="preserve">The study of the structure of the modified lead-tin-base bronze </w:t>
      </w:r>
    </w:p>
    <w:p w14:paraId="2F28D2E6" w14:textId="77777777"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Look w:val="01E0" w:firstRow="1" w:lastRow="1" w:firstColumn="1" w:lastColumn="1" w:noHBand="0" w:noVBand="0"/>
      </w:tblPr>
      <w:tblGrid>
        <w:gridCol w:w="8879"/>
      </w:tblGrid>
      <w:tr w:rsidR="007777EC" w:rsidRPr="00DF75CB" w14:paraId="5941052C" w14:textId="77777777">
        <w:trPr>
          <w:jc w:val="center"/>
        </w:trPr>
        <w:tc>
          <w:tcPr>
            <w:tcW w:w="8879" w:type="dxa"/>
          </w:tcPr>
          <w:p w14:paraId="4C2F9A58" w14:textId="1DDB3E0F" w:rsidR="007777EC" w:rsidRPr="00DF75CB" w:rsidRDefault="00C40108" w:rsidP="00B021CD">
            <w:pPr>
              <w:pStyle w:val="BodyChar"/>
              <w:jc w:val="center"/>
              <w:rPr>
                <w:rFonts w:ascii="Times New Roman" w:hAnsi="Times New Roman" w:cs="Times New Roman"/>
              </w:rPr>
            </w:pPr>
            <w:r>
              <w:rPr>
                <w:rFonts w:ascii="Times New Roman" w:hAnsi="Times New Roman" w:cs="Times New Roman"/>
                <w:noProof/>
                <w:sz w:val="20"/>
                <w:szCs w:val="20"/>
                <w:lang w:val="ru-RU" w:eastAsia="ru-RU"/>
              </w:rPr>
              <w:drawing>
                <wp:inline distT="0" distB="0" distL="0" distR="0" wp14:anchorId="3B8444BE" wp14:editId="21F0618E">
                  <wp:extent cx="1729740" cy="1295400"/>
                  <wp:effectExtent l="0" t="0" r="0" b="0"/>
                  <wp:docPr id="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295400"/>
                          </a:xfrm>
                          <a:prstGeom prst="rect">
                            <a:avLst/>
                          </a:prstGeom>
                          <a:noFill/>
                          <a:ln>
                            <a:noFill/>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sz w:val="20"/>
                <w:szCs w:val="20"/>
                <w:lang w:val="ru-RU" w:eastAsia="ru-RU"/>
              </w:rPr>
              <w:drawing>
                <wp:inline distT="0" distB="0" distL="0" distR="0" wp14:anchorId="5C4E0A9C" wp14:editId="4A9E7135">
                  <wp:extent cx="1645920" cy="1287780"/>
                  <wp:effectExtent l="0" t="0" r="0" b="0"/>
                  <wp:docPr id="2"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287780"/>
                          </a:xfrm>
                          <a:prstGeom prst="rect">
                            <a:avLst/>
                          </a:prstGeom>
                          <a:noFill/>
                          <a:ln>
                            <a:noFill/>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lang w:val="ru-RU" w:eastAsia="ru-RU"/>
              </w:rPr>
              <w:drawing>
                <wp:inline distT="0" distB="0" distL="0" distR="0" wp14:anchorId="38F9D77E" wp14:editId="69001E85">
                  <wp:extent cx="1783080" cy="1295400"/>
                  <wp:effectExtent l="0" t="0" r="0" b="0"/>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1295400"/>
                          </a:xfrm>
                          <a:prstGeom prst="rect">
                            <a:avLst/>
                          </a:prstGeom>
                          <a:noFill/>
                          <a:ln>
                            <a:noFill/>
                          </a:ln>
                        </pic:spPr>
                      </pic:pic>
                    </a:graphicData>
                  </a:graphic>
                </wp:inline>
              </w:drawing>
            </w:r>
          </w:p>
        </w:tc>
      </w:tr>
      <w:tr w:rsidR="007777EC" w:rsidRPr="00DF75CB" w14:paraId="2694C9BC" w14:textId="77777777">
        <w:trPr>
          <w:jc w:val="center"/>
        </w:trPr>
        <w:tc>
          <w:tcPr>
            <w:tcW w:w="8879" w:type="dxa"/>
          </w:tcPr>
          <w:p w14:paraId="2E7055B5" w14:textId="77777777" w:rsidR="007777EC" w:rsidRPr="00DF75CB" w:rsidRDefault="007777EC"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7777EC" w:rsidRPr="00DF75CB" w14:paraId="299B54D2" w14:textId="77777777">
        <w:trPr>
          <w:jc w:val="center"/>
        </w:trPr>
        <w:tc>
          <w:tcPr>
            <w:tcW w:w="8879" w:type="dxa"/>
          </w:tcPr>
          <w:p w14:paraId="350C07FD" w14:textId="77777777" w:rsidR="007777EC" w:rsidRPr="00DF75CB" w:rsidRDefault="007777EC" w:rsidP="00F15D3D">
            <w:pPr>
              <w:pStyle w:val="Reference"/>
              <w:numPr>
                <w:ilvl w:val="0"/>
                <w:numId w:val="0"/>
              </w:numPr>
              <w:rPr>
                <w:rFonts w:ascii="Times New Roman" w:hAnsi="Times New Roman" w:cs="Times New Roman"/>
                <w:lang w:val="en-US"/>
              </w:rPr>
            </w:pPr>
            <w:r w:rsidRPr="00DF75CB">
              <w:rPr>
                <w:rFonts w:ascii="Times New Roman" w:hAnsi="Times New Roman" w:cs="Times New Roman"/>
                <w:b/>
                <w:bCs/>
                <w:lang w:val="en-US"/>
              </w:rPr>
              <w:t>Figure 1.</w:t>
            </w:r>
            <w:r w:rsidRPr="00DF75CB">
              <w:rPr>
                <w:rFonts w:ascii="Times New Roman" w:hAnsi="Times New Roman" w:cs="Times New Roman"/>
                <w:lang w:val="en-US"/>
              </w:rPr>
              <w:t xml:space="preserve"> A microstructure of </w:t>
            </w:r>
            <w:r w:rsidRPr="00DF75CB">
              <w:rPr>
                <w:rFonts w:ascii="Times New Roman" w:hAnsi="Times New Roman" w:cs="Times New Roman"/>
                <w:color w:val="auto"/>
                <w:lang w:val="en-US"/>
              </w:rPr>
              <w:t xml:space="preserve">BrO10S10 </w:t>
            </w:r>
            <w:r w:rsidRPr="00DF75CB">
              <w:rPr>
                <w:rFonts w:ascii="Times New Roman" w:hAnsi="Times New Roman" w:cs="Times New Roman"/>
                <w:lang w:val="en-US"/>
              </w:rPr>
              <w:t>bronze castings with different content of the alloying additive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a – without the powder; b – 0.07 %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c – 0.75 %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w:t>
            </w:r>
            <w:r>
              <w:rPr>
                <w:rFonts w:ascii="Times New Roman" w:hAnsi="Times New Roman" w:cs="Times New Roman"/>
                <w:lang w:val="en-US"/>
              </w:rPr>
              <w:t>.</w:t>
            </w:r>
          </w:p>
        </w:tc>
      </w:tr>
    </w:tbl>
    <w:p w14:paraId="4711C2F2" w14:textId="77777777"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p>
    <w:p w14:paraId="0F70A2C5" w14:textId="77777777" w:rsidR="007777EC" w:rsidRPr="00DF75CB" w:rsidRDefault="007777EC" w:rsidP="00263D98">
      <w:pPr>
        <w:pStyle w:val="Reference"/>
        <w:numPr>
          <w:ilvl w:val="0"/>
          <w:numId w:val="0"/>
        </w:numPr>
        <w:tabs>
          <w:tab w:val="clear" w:pos="567"/>
        </w:tabs>
        <w:ind w:firstLine="284"/>
        <w:rPr>
          <w:rFonts w:ascii="Times New Roman" w:hAnsi="Times New Roman" w:cs="Times New Roman"/>
          <w:noProof w:val="0"/>
          <w:color w:val="auto"/>
          <w:lang w:val="en-US"/>
        </w:rPr>
      </w:pPr>
      <w:r w:rsidRPr="00DF75CB">
        <w:rPr>
          <w:rFonts w:ascii="Times New Roman" w:hAnsi="Times New Roman" w:cs="Times New Roman"/>
          <w:lang w:val="en-US"/>
        </w:rPr>
        <w:t xml:space="preserve">As it is seen from </w:t>
      </w:r>
      <w:r>
        <w:rPr>
          <w:rFonts w:ascii="Times New Roman" w:hAnsi="Times New Roman" w:cs="Times New Roman"/>
          <w:lang w:val="en-US"/>
        </w:rPr>
        <w:t>F</w:t>
      </w:r>
      <w:r w:rsidRPr="00DF75CB">
        <w:rPr>
          <w:rFonts w:ascii="Times New Roman" w:hAnsi="Times New Roman" w:cs="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14:paraId="6F2125C6" w14:textId="77777777"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noProof w:val="0"/>
          <w:color w:val="auto"/>
          <w:lang w:val="en-US"/>
        </w:rPr>
        <w:t xml:space="preserve">Figures 1 and 2 show that when introducing a small amount </w:t>
      </w:r>
      <w:r w:rsidRPr="00DF75CB">
        <w:rPr>
          <w:rFonts w:ascii="Times New Roman" w:hAnsi="Times New Roman" w:cs="Times New Roman"/>
          <w:lang w:val="en-US"/>
        </w:rPr>
        <w:t xml:space="preserve">(0.25 %) </w:t>
      </w:r>
      <w:r w:rsidRPr="00DF75CB">
        <w:rPr>
          <w:rFonts w:ascii="Times New Roman" w:hAnsi="Times New Roman" w:cs="Times New Roman"/>
          <w:noProof w:val="0"/>
          <w:color w:val="auto"/>
          <w:lang w:val="en-US"/>
        </w:rPr>
        <w:t xml:space="preserve">of the aluminium oxide powder, there is a </w:t>
      </w:r>
      <w:r w:rsidRPr="00DF75CB">
        <w:rPr>
          <w:rFonts w:ascii="Times New Roman" w:hAnsi="Times New Roman" w:cs="Times New Roman"/>
          <w:lang w:val="en-US"/>
        </w:rPr>
        <w:t>2.5 time decrease of</w:t>
      </w:r>
      <w:r w:rsidRPr="00DF75CB">
        <w:rPr>
          <w:rFonts w:ascii="Times New Roman" w:hAnsi="Times New Roman" w:cs="Times New Roman"/>
          <w:noProof w:val="0"/>
          <w:color w:val="auto"/>
          <w:lang w:val="en-US"/>
        </w:rPr>
        <w:t xml:space="preserve"> the distance between the dendrites axes of the second order, and a </w:t>
      </w:r>
      <w:r w:rsidRPr="00DF75CB">
        <w:rPr>
          <w:rFonts w:ascii="Times New Roman" w:hAnsi="Times New Roman" w:cs="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3</w:t>
      </w:r>
      <w:r w:rsidRPr="00DF75CB">
        <w:rPr>
          <w:rFonts w:ascii="Times New Roman" w:hAnsi="Times New Roman" w:cs="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14:paraId="65B2FE56" w14:textId="77777777" w:rsidR="007777EC" w:rsidRPr="00DF75CB" w:rsidRDefault="007777EC" w:rsidP="00FD2E3C">
      <w:pPr>
        <w:pStyle w:val="Reference"/>
        <w:numPr>
          <w:ilvl w:val="0"/>
          <w:numId w:val="0"/>
        </w:numPr>
        <w:rPr>
          <w:rFonts w:ascii="Times New Roman" w:hAnsi="Times New Roman" w:cs="Times New Roman"/>
          <w:lang w:val="en-US"/>
        </w:rPr>
      </w:pPr>
    </w:p>
    <w:p w14:paraId="1ED4082E" w14:textId="77777777" w:rsidR="007777EC" w:rsidRPr="00DF75CB" w:rsidRDefault="007777EC" w:rsidP="00FD2E3C">
      <w:pPr>
        <w:pStyle w:val="af9"/>
        <w:spacing w:before="0" w:after="120"/>
        <w:ind w:left="0" w:firstLine="567"/>
        <w:jc w:val="center"/>
        <w:rPr>
          <w:sz w:val="22"/>
          <w:szCs w:val="22"/>
        </w:rPr>
      </w:pPr>
      <w:r w:rsidRPr="002E5FE9">
        <w:rPr>
          <w:b/>
          <w:bCs/>
          <w:sz w:val="22"/>
          <w:szCs w:val="22"/>
        </w:rPr>
        <w:t>Table 1.</w:t>
      </w:r>
      <w:r w:rsidRPr="00DF75CB">
        <w:rPr>
          <w:sz w:val="22"/>
          <w:szCs w:val="22"/>
        </w:rPr>
        <w:t xml:space="preserve"> Dependence of the sphericity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1324"/>
        <w:gridCol w:w="1559"/>
        <w:gridCol w:w="1418"/>
        <w:gridCol w:w="1275"/>
        <w:gridCol w:w="1418"/>
        <w:gridCol w:w="1418"/>
      </w:tblGrid>
      <w:tr w:rsidR="007777EC" w:rsidRPr="00DF75CB" w14:paraId="143841CB" w14:textId="77777777">
        <w:trPr>
          <w:trHeight w:hRule="exact" w:val="1070"/>
          <w:jc w:val="center"/>
        </w:trPr>
        <w:tc>
          <w:tcPr>
            <w:tcW w:w="1324" w:type="dxa"/>
          </w:tcPr>
          <w:p w14:paraId="474A8582"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lastRenderedPageBreak/>
              <w:t>Al</w:t>
            </w:r>
            <w:r w:rsidRPr="00DF75CB">
              <w:rPr>
                <w:rFonts w:ascii="Times New Roman" w:hAnsi="Times New Roman" w:cs="Times New Roman"/>
                <w:vertAlign w:val="subscript"/>
              </w:rPr>
              <w:t>2</w:t>
            </w:r>
            <w:r w:rsidRPr="00DF75CB">
              <w:rPr>
                <w:rFonts w:ascii="Times New Roman" w:hAnsi="Times New Roman" w:cs="Times New Roman"/>
              </w:rPr>
              <w:t>O</w:t>
            </w:r>
            <w:r w:rsidRPr="00DF75CB">
              <w:rPr>
                <w:rFonts w:ascii="Times New Roman" w:hAnsi="Times New Roman" w:cs="Times New Roman"/>
                <w:vertAlign w:val="subscript"/>
              </w:rPr>
              <w:t xml:space="preserve">3 </w:t>
            </w:r>
            <w:r w:rsidRPr="00DF75CB">
              <w:rPr>
                <w:rFonts w:ascii="Times New Roman" w:hAnsi="Times New Roman" w:cs="Times New Roman"/>
              </w:rPr>
              <w:t>powder content,</w:t>
            </w:r>
            <w:r w:rsidRPr="00DF75CB">
              <w:rPr>
                <w:rFonts w:ascii="Times New Roman" w:hAnsi="Times New Roman" w:cs="Times New Roman"/>
                <w:spacing w:val="-3"/>
              </w:rPr>
              <w:t xml:space="preserve"> </w:t>
            </w:r>
            <w:r w:rsidRPr="00DF75CB">
              <w:rPr>
                <w:rFonts w:ascii="Times New Roman" w:hAnsi="Times New Roman" w:cs="Times New Roman"/>
              </w:rPr>
              <w:t>%</w:t>
            </w:r>
          </w:p>
        </w:tc>
        <w:tc>
          <w:tcPr>
            <w:tcW w:w="1559" w:type="dxa"/>
          </w:tcPr>
          <w:p w14:paraId="10F099EE"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Sphericity coefficient of lead inclusions</w:t>
            </w:r>
          </w:p>
        </w:tc>
        <w:tc>
          <w:tcPr>
            <w:tcW w:w="1418" w:type="dxa"/>
          </w:tcPr>
          <w:p w14:paraId="794E00C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Average size of lead inclusions, µm</w:t>
            </w:r>
          </w:p>
        </w:tc>
        <w:tc>
          <w:tcPr>
            <w:tcW w:w="1275" w:type="dxa"/>
          </w:tcPr>
          <w:p w14:paraId="40817AEF" w14:textId="77777777"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Eutectoid content, %</w:t>
            </w:r>
          </w:p>
        </w:tc>
        <w:tc>
          <w:tcPr>
            <w:tcW w:w="1418" w:type="dxa"/>
          </w:tcPr>
          <w:p w14:paraId="42560129" w14:textId="77777777"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Sphericity coefficient of (α+δ) eutectoid inclusions</w:t>
            </w:r>
          </w:p>
        </w:tc>
        <w:tc>
          <w:tcPr>
            <w:tcW w:w="1418" w:type="dxa"/>
          </w:tcPr>
          <w:p w14:paraId="78774FAB" w14:textId="77777777" w:rsidR="007777EC" w:rsidRPr="00DF75CB" w:rsidRDefault="007777EC" w:rsidP="000604D3">
            <w:pPr>
              <w:pStyle w:val="TableParagraph"/>
              <w:ind w:right="58" w:firstLine="12"/>
              <w:jc w:val="center"/>
              <w:rPr>
                <w:rFonts w:ascii="Times New Roman" w:hAnsi="Times New Roman" w:cs="Times New Roman"/>
              </w:rPr>
            </w:pPr>
            <w:r w:rsidRPr="00DF75CB">
              <w:rPr>
                <w:rFonts w:ascii="Times New Roman" w:hAnsi="Times New Roman" w:cs="Times New Roman"/>
              </w:rPr>
              <w:t>Average size of  (α+δ) eutectoid inclusions, µm</w:t>
            </w:r>
          </w:p>
        </w:tc>
      </w:tr>
      <w:tr w:rsidR="007777EC" w:rsidRPr="00DF75CB" w14:paraId="3786505D" w14:textId="77777777">
        <w:trPr>
          <w:trHeight w:hRule="exact" w:val="336"/>
          <w:jc w:val="center"/>
        </w:trPr>
        <w:tc>
          <w:tcPr>
            <w:tcW w:w="1324" w:type="dxa"/>
            <w:tcBorders>
              <w:bottom w:val="nil"/>
            </w:tcBorders>
          </w:tcPr>
          <w:p w14:paraId="4D40C729"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w:t>
            </w:r>
          </w:p>
        </w:tc>
        <w:tc>
          <w:tcPr>
            <w:tcW w:w="1559" w:type="dxa"/>
            <w:tcBorders>
              <w:bottom w:val="nil"/>
            </w:tcBorders>
          </w:tcPr>
          <w:p w14:paraId="4925557F"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10.2</w:t>
            </w:r>
          </w:p>
        </w:tc>
        <w:tc>
          <w:tcPr>
            <w:tcW w:w="1418" w:type="dxa"/>
            <w:tcBorders>
              <w:bottom w:val="nil"/>
            </w:tcBorders>
          </w:tcPr>
          <w:p w14:paraId="384DCEA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275" w:type="dxa"/>
            <w:tcBorders>
              <w:bottom w:val="nil"/>
            </w:tcBorders>
          </w:tcPr>
          <w:p w14:paraId="1BFE2E52"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418" w:type="dxa"/>
            <w:tcBorders>
              <w:bottom w:val="nil"/>
            </w:tcBorders>
          </w:tcPr>
          <w:p w14:paraId="0143BC1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bottom w:val="nil"/>
            </w:tcBorders>
          </w:tcPr>
          <w:p w14:paraId="1E943A1E"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14:paraId="7997933B" w14:textId="77777777">
        <w:trPr>
          <w:trHeight w:hRule="exact" w:val="284"/>
          <w:jc w:val="center"/>
        </w:trPr>
        <w:tc>
          <w:tcPr>
            <w:tcW w:w="1324" w:type="dxa"/>
            <w:tcBorders>
              <w:top w:val="nil"/>
              <w:bottom w:val="nil"/>
            </w:tcBorders>
          </w:tcPr>
          <w:p w14:paraId="36C5DF5B"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0.07</w:t>
            </w:r>
          </w:p>
        </w:tc>
        <w:tc>
          <w:tcPr>
            <w:tcW w:w="1559" w:type="dxa"/>
            <w:tcBorders>
              <w:top w:val="nil"/>
              <w:bottom w:val="nil"/>
            </w:tcBorders>
          </w:tcPr>
          <w:p w14:paraId="601686DD"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2.2</w:t>
            </w:r>
          </w:p>
        </w:tc>
        <w:tc>
          <w:tcPr>
            <w:tcW w:w="1418" w:type="dxa"/>
            <w:tcBorders>
              <w:top w:val="nil"/>
              <w:bottom w:val="nil"/>
            </w:tcBorders>
          </w:tcPr>
          <w:p w14:paraId="5B40C033"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5.1</w:t>
            </w:r>
          </w:p>
        </w:tc>
        <w:tc>
          <w:tcPr>
            <w:tcW w:w="1275" w:type="dxa"/>
            <w:tcBorders>
              <w:top w:val="nil"/>
              <w:bottom w:val="nil"/>
            </w:tcBorders>
          </w:tcPr>
          <w:p w14:paraId="5E1A3E4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14:paraId="2FD48DF3"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8.2</w:t>
            </w:r>
          </w:p>
        </w:tc>
        <w:tc>
          <w:tcPr>
            <w:tcW w:w="1418" w:type="dxa"/>
            <w:tcBorders>
              <w:top w:val="nil"/>
              <w:bottom w:val="nil"/>
            </w:tcBorders>
          </w:tcPr>
          <w:p w14:paraId="085680CB"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20.1</w:t>
            </w:r>
          </w:p>
        </w:tc>
      </w:tr>
      <w:tr w:rsidR="007777EC" w:rsidRPr="00DF75CB" w14:paraId="05789E5F" w14:textId="77777777">
        <w:trPr>
          <w:trHeight w:hRule="exact" w:val="287"/>
          <w:jc w:val="center"/>
        </w:trPr>
        <w:tc>
          <w:tcPr>
            <w:tcW w:w="1324" w:type="dxa"/>
            <w:tcBorders>
              <w:top w:val="nil"/>
              <w:bottom w:val="nil"/>
            </w:tcBorders>
          </w:tcPr>
          <w:p w14:paraId="46F83412"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0.15</w:t>
            </w:r>
          </w:p>
        </w:tc>
        <w:tc>
          <w:tcPr>
            <w:tcW w:w="1559" w:type="dxa"/>
            <w:tcBorders>
              <w:top w:val="nil"/>
              <w:bottom w:val="nil"/>
            </w:tcBorders>
          </w:tcPr>
          <w:p w14:paraId="3AF27746"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2.8</w:t>
            </w:r>
          </w:p>
        </w:tc>
        <w:tc>
          <w:tcPr>
            <w:tcW w:w="1418" w:type="dxa"/>
            <w:tcBorders>
              <w:top w:val="nil"/>
              <w:bottom w:val="nil"/>
            </w:tcBorders>
          </w:tcPr>
          <w:p w14:paraId="02D67F04"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7.3</w:t>
            </w:r>
          </w:p>
        </w:tc>
        <w:tc>
          <w:tcPr>
            <w:tcW w:w="1275" w:type="dxa"/>
            <w:tcBorders>
              <w:top w:val="nil"/>
              <w:bottom w:val="nil"/>
            </w:tcBorders>
          </w:tcPr>
          <w:p w14:paraId="79D373F9"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w:t>
            </w:r>
          </w:p>
        </w:tc>
        <w:tc>
          <w:tcPr>
            <w:tcW w:w="1418" w:type="dxa"/>
            <w:tcBorders>
              <w:top w:val="nil"/>
              <w:bottom w:val="nil"/>
            </w:tcBorders>
          </w:tcPr>
          <w:p w14:paraId="40150827"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9.1</w:t>
            </w:r>
          </w:p>
        </w:tc>
        <w:tc>
          <w:tcPr>
            <w:tcW w:w="1418" w:type="dxa"/>
            <w:tcBorders>
              <w:top w:val="nil"/>
              <w:bottom w:val="nil"/>
            </w:tcBorders>
          </w:tcPr>
          <w:p w14:paraId="01E691EB"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21.8</w:t>
            </w:r>
          </w:p>
        </w:tc>
      </w:tr>
      <w:tr w:rsidR="007777EC" w:rsidRPr="00DF75CB" w14:paraId="413E5809" w14:textId="77777777">
        <w:trPr>
          <w:trHeight w:hRule="exact" w:val="292"/>
          <w:jc w:val="center"/>
        </w:trPr>
        <w:tc>
          <w:tcPr>
            <w:tcW w:w="1324" w:type="dxa"/>
            <w:tcBorders>
              <w:top w:val="nil"/>
              <w:bottom w:val="nil"/>
            </w:tcBorders>
          </w:tcPr>
          <w:p w14:paraId="7F604640"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0.25</w:t>
            </w:r>
          </w:p>
        </w:tc>
        <w:tc>
          <w:tcPr>
            <w:tcW w:w="1559" w:type="dxa"/>
            <w:tcBorders>
              <w:top w:val="nil"/>
              <w:bottom w:val="nil"/>
            </w:tcBorders>
          </w:tcPr>
          <w:p w14:paraId="2B740EB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2.6</w:t>
            </w:r>
          </w:p>
        </w:tc>
        <w:tc>
          <w:tcPr>
            <w:tcW w:w="1418" w:type="dxa"/>
            <w:tcBorders>
              <w:top w:val="nil"/>
              <w:bottom w:val="nil"/>
            </w:tcBorders>
          </w:tcPr>
          <w:p w14:paraId="1E6618D7"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9.3</w:t>
            </w:r>
          </w:p>
        </w:tc>
        <w:tc>
          <w:tcPr>
            <w:tcW w:w="1275" w:type="dxa"/>
            <w:tcBorders>
              <w:top w:val="nil"/>
              <w:bottom w:val="nil"/>
            </w:tcBorders>
          </w:tcPr>
          <w:p w14:paraId="4DD3C214"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14</w:t>
            </w:r>
          </w:p>
        </w:tc>
        <w:tc>
          <w:tcPr>
            <w:tcW w:w="1418" w:type="dxa"/>
            <w:tcBorders>
              <w:top w:val="nil"/>
              <w:bottom w:val="nil"/>
            </w:tcBorders>
          </w:tcPr>
          <w:p w14:paraId="4FC9482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11.3</w:t>
            </w:r>
          </w:p>
        </w:tc>
        <w:tc>
          <w:tcPr>
            <w:tcW w:w="1418" w:type="dxa"/>
            <w:tcBorders>
              <w:top w:val="nil"/>
              <w:bottom w:val="nil"/>
            </w:tcBorders>
          </w:tcPr>
          <w:p w14:paraId="77E2575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16.7</w:t>
            </w:r>
          </w:p>
        </w:tc>
      </w:tr>
      <w:tr w:rsidR="007777EC" w:rsidRPr="00DF75CB" w14:paraId="213363CF" w14:textId="77777777">
        <w:trPr>
          <w:trHeight w:hRule="exact" w:val="281"/>
          <w:jc w:val="center"/>
        </w:trPr>
        <w:tc>
          <w:tcPr>
            <w:tcW w:w="1324" w:type="dxa"/>
            <w:tcBorders>
              <w:top w:val="nil"/>
              <w:bottom w:val="nil"/>
            </w:tcBorders>
          </w:tcPr>
          <w:p w14:paraId="0FC4359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0.5</w:t>
            </w:r>
          </w:p>
        </w:tc>
        <w:tc>
          <w:tcPr>
            <w:tcW w:w="1559" w:type="dxa"/>
            <w:tcBorders>
              <w:top w:val="nil"/>
              <w:bottom w:val="nil"/>
            </w:tcBorders>
          </w:tcPr>
          <w:p w14:paraId="754910B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3.5</w:t>
            </w:r>
          </w:p>
        </w:tc>
        <w:tc>
          <w:tcPr>
            <w:tcW w:w="1418" w:type="dxa"/>
            <w:tcBorders>
              <w:top w:val="nil"/>
              <w:bottom w:val="nil"/>
            </w:tcBorders>
          </w:tcPr>
          <w:p w14:paraId="0F13FA8E"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9.5</w:t>
            </w:r>
          </w:p>
        </w:tc>
        <w:tc>
          <w:tcPr>
            <w:tcW w:w="1275" w:type="dxa"/>
            <w:tcBorders>
              <w:top w:val="nil"/>
              <w:bottom w:val="nil"/>
            </w:tcBorders>
          </w:tcPr>
          <w:p w14:paraId="0C7FCF9D"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14:paraId="1E4C6C17"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12.7</w:t>
            </w:r>
          </w:p>
        </w:tc>
        <w:tc>
          <w:tcPr>
            <w:tcW w:w="1418" w:type="dxa"/>
            <w:tcBorders>
              <w:top w:val="nil"/>
              <w:bottom w:val="nil"/>
            </w:tcBorders>
          </w:tcPr>
          <w:p w14:paraId="74DB6EB7"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18.6</w:t>
            </w:r>
          </w:p>
        </w:tc>
      </w:tr>
      <w:tr w:rsidR="007777EC" w:rsidRPr="00DF75CB" w14:paraId="292FE8EB" w14:textId="77777777">
        <w:trPr>
          <w:trHeight w:hRule="exact" w:val="286"/>
          <w:jc w:val="center"/>
        </w:trPr>
        <w:tc>
          <w:tcPr>
            <w:tcW w:w="1324" w:type="dxa"/>
            <w:tcBorders>
              <w:top w:val="nil"/>
              <w:bottom w:val="nil"/>
            </w:tcBorders>
          </w:tcPr>
          <w:p w14:paraId="4B88C375"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0.75</w:t>
            </w:r>
          </w:p>
        </w:tc>
        <w:tc>
          <w:tcPr>
            <w:tcW w:w="1559" w:type="dxa"/>
            <w:tcBorders>
              <w:top w:val="nil"/>
              <w:bottom w:val="nil"/>
            </w:tcBorders>
          </w:tcPr>
          <w:p w14:paraId="58BF2F60"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4.1</w:t>
            </w:r>
          </w:p>
        </w:tc>
        <w:tc>
          <w:tcPr>
            <w:tcW w:w="1418" w:type="dxa"/>
            <w:tcBorders>
              <w:top w:val="nil"/>
              <w:bottom w:val="nil"/>
            </w:tcBorders>
          </w:tcPr>
          <w:p w14:paraId="398967D7"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15.8</w:t>
            </w:r>
          </w:p>
        </w:tc>
        <w:tc>
          <w:tcPr>
            <w:tcW w:w="1275" w:type="dxa"/>
            <w:tcBorders>
              <w:top w:val="nil"/>
              <w:bottom w:val="nil"/>
            </w:tcBorders>
          </w:tcPr>
          <w:p w14:paraId="67618782"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w:t>
            </w:r>
          </w:p>
        </w:tc>
        <w:tc>
          <w:tcPr>
            <w:tcW w:w="1418" w:type="dxa"/>
            <w:tcBorders>
              <w:top w:val="nil"/>
              <w:bottom w:val="nil"/>
            </w:tcBorders>
          </w:tcPr>
          <w:p w14:paraId="23986F5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bottom w:val="nil"/>
            </w:tcBorders>
          </w:tcPr>
          <w:p w14:paraId="29F4A378"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14:paraId="123145F7" w14:textId="77777777">
        <w:trPr>
          <w:trHeight w:hRule="exact" w:val="275"/>
          <w:jc w:val="center"/>
        </w:trPr>
        <w:tc>
          <w:tcPr>
            <w:tcW w:w="1324" w:type="dxa"/>
            <w:tcBorders>
              <w:top w:val="nil"/>
            </w:tcBorders>
          </w:tcPr>
          <w:p w14:paraId="2E074D4C"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559" w:type="dxa"/>
            <w:tcBorders>
              <w:top w:val="nil"/>
            </w:tcBorders>
          </w:tcPr>
          <w:p w14:paraId="692D32DA"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418" w:type="dxa"/>
            <w:tcBorders>
              <w:top w:val="nil"/>
            </w:tcBorders>
          </w:tcPr>
          <w:p w14:paraId="0604B1A9"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18.2</w:t>
            </w:r>
          </w:p>
        </w:tc>
        <w:tc>
          <w:tcPr>
            <w:tcW w:w="1275" w:type="dxa"/>
            <w:tcBorders>
              <w:top w:val="nil"/>
            </w:tcBorders>
          </w:tcPr>
          <w:p w14:paraId="7D205969"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tcBorders>
          </w:tcPr>
          <w:p w14:paraId="5D131A1D"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tcBorders>
          </w:tcPr>
          <w:p w14:paraId="40DDA5DF" w14:textId="77777777"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bl>
    <w:p w14:paraId="0755C211" w14:textId="77777777" w:rsidR="007777EC" w:rsidRPr="00DF75CB" w:rsidRDefault="007777EC" w:rsidP="00FD2E3C">
      <w:pPr>
        <w:pStyle w:val="Reference"/>
        <w:numPr>
          <w:ilvl w:val="0"/>
          <w:numId w:val="0"/>
        </w:numPr>
        <w:rPr>
          <w:rFonts w:ascii="Times New Roman" w:hAnsi="Times New Roman" w:cs="Times New Roman"/>
          <w:lang w:val="en-US"/>
        </w:rPr>
      </w:pPr>
    </w:p>
    <w:p w14:paraId="0002B589" w14:textId="77777777" w:rsidR="007777EC" w:rsidRPr="00DF75CB" w:rsidRDefault="007777EC" w:rsidP="00FD2E3C">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14:paraId="02FAF475" w14:textId="77777777" w:rsidR="007777EC" w:rsidRPr="003A55E6" w:rsidRDefault="007777EC" w:rsidP="00CA22D6">
      <w:pPr>
        <w:pStyle w:val="Section"/>
        <w:ind w:left="0"/>
        <w:rPr>
          <w:rFonts w:ascii="Times New Roman" w:hAnsi="Times New Roman" w:cs="Times New Roman"/>
          <w:lang w:eastAsia="ru-RU"/>
        </w:rPr>
      </w:pPr>
      <w:r w:rsidRPr="003A55E6">
        <w:rPr>
          <w:rFonts w:ascii="Times New Roman" w:hAnsi="Times New Roman" w:cs="Times New Roman"/>
          <w:lang w:eastAsia="ru-RU"/>
        </w:rPr>
        <w:t>Conclusion</w:t>
      </w:r>
    </w:p>
    <w:p w14:paraId="7080DC02" w14:textId="77777777" w:rsidR="007777EC" w:rsidRPr="00DF75CB" w:rsidRDefault="007777EC" w:rsidP="0010416D">
      <w:pPr>
        <w:pStyle w:val="Bodytext"/>
        <w:rPr>
          <w:rFonts w:ascii="Times New Roman" w:hAnsi="Times New Roman" w:cs="Times New Roman"/>
        </w:rPr>
      </w:pPr>
      <w:r w:rsidRPr="003A55E6">
        <w:rPr>
          <w:rFonts w:ascii="Times New Roman" w:hAnsi="Times New Roman" w:cs="Times New Roman"/>
        </w:rPr>
        <w:t xml:space="preserve">After </w:t>
      </w:r>
      <w:r w:rsidRPr="00DF75CB">
        <w:rPr>
          <w:rFonts w:ascii="Times New Roman" w:hAnsi="Times New Roman" w:cs="Times New Roman"/>
        </w:rPr>
        <w:t>conducted studies of the lead-tin-base bronze structure of the BrO10S10 grade, it is possible to conclude that the modification with superdispersed powders influences considerably its structure. It is particularly typical for low concentrations of the modifier (up to 0.25 %).</w:t>
      </w:r>
    </w:p>
    <w:p w14:paraId="1A85268C" w14:textId="77777777" w:rsidR="007777EC" w:rsidRPr="00DF75CB" w:rsidRDefault="007777EC" w:rsidP="005046F2">
      <w:pPr>
        <w:pStyle w:val="BodytextIndented"/>
        <w:rPr>
          <w:rFonts w:ascii="Times New Roman" w:hAnsi="Times New Roman" w:cs="Times New Roman"/>
        </w:rPr>
      </w:pPr>
      <w:r w:rsidRPr="00DF75CB">
        <w:rPr>
          <w:rFonts w:ascii="Times New Roman" w:hAnsi="Times New Roman" w:cs="Times New Roman"/>
        </w:rPr>
        <w:t>When introducing a small amount of the aluminium oxide powder, the distance between the axes of the second-order dendrites and the average grain size reduces. This implies that a considerable part of the powder particles is effective crystallization centres. When increasing the nanopowder content, the structure starts coarsening relatively that, which was obtained using low powder concentrations. Introduction of the large quantity of the modifier leads to its coagulation and reduction of its influence on the structure.</w:t>
      </w:r>
    </w:p>
    <w:p w14:paraId="01249704" w14:textId="77777777" w:rsidR="007777EC" w:rsidRPr="008763A1" w:rsidRDefault="007777EC" w:rsidP="00AC3382">
      <w:pPr>
        <w:pStyle w:val="Section"/>
        <w:numPr>
          <w:ilvl w:val="0"/>
          <w:numId w:val="0"/>
        </w:numPr>
        <w:rPr>
          <w:rFonts w:ascii="Times New Roman" w:hAnsi="Times New Roman" w:cs="Times New Roman"/>
          <w:lang w:eastAsia="ru-RU"/>
        </w:rPr>
      </w:pPr>
      <w:r w:rsidRPr="008763A1">
        <w:rPr>
          <w:rFonts w:ascii="Times New Roman" w:hAnsi="Times New Roman" w:cs="Times New Roman"/>
          <w:lang w:eastAsia="ru-RU"/>
        </w:rPr>
        <w:t>Acknowledgments</w:t>
      </w:r>
    </w:p>
    <w:p w14:paraId="73C212DF" w14:textId="77777777" w:rsidR="007777EC" w:rsidRPr="008763A1" w:rsidRDefault="007777EC" w:rsidP="0010416D">
      <w:pPr>
        <w:jc w:val="both"/>
        <w:rPr>
          <w:rFonts w:ascii="Times New Roman" w:hAnsi="Times New Roman" w:cs="Times New Roman"/>
          <w:lang w:val="en-US"/>
        </w:rPr>
      </w:pPr>
      <w:r>
        <w:rPr>
          <w:rFonts w:ascii="Times New Roman" w:hAnsi="Times New Roman" w:cs="Times New Roman"/>
          <w:lang w:val="en-US"/>
        </w:rPr>
        <w:t>The reported study was funded</w:t>
      </w:r>
      <w:r w:rsidRPr="008763A1">
        <w:rPr>
          <w:rFonts w:ascii="Times New Roman" w:hAnsi="Times New Roman" w:cs="Times New Roman"/>
          <w:lang w:val="en-US"/>
        </w:rPr>
        <w:t xml:space="preserve"> by the </w:t>
      </w:r>
      <w:r w:rsidRPr="00DF75CB">
        <w:rPr>
          <w:rFonts w:ascii="Times New Roman" w:hAnsi="Times New Roman" w:cs="Times New Roman"/>
          <w:lang w:val="en-US"/>
        </w:rPr>
        <w:t xml:space="preserve">Russian Humanitarian Science Foundation </w:t>
      </w:r>
      <w:r w:rsidRPr="008763A1">
        <w:rPr>
          <w:rFonts w:ascii="Times New Roman" w:hAnsi="Times New Roman" w:cs="Times New Roman"/>
          <w:lang w:val="en-US"/>
        </w:rPr>
        <w:t>(</w:t>
      </w:r>
      <w:r>
        <w:rPr>
          <w:rFonts w:ascii="Times New Roman" w:hAnsi="Times New Roman" w:cs="Times New Roman"/>
          <w:lang w:val="en-US"/>
        </w:rPr>
        <w:t>RHSF</w:t>
      </w:r>
      <w:r w:rsidRPr="00DF75CB">
        <w:rPr>
          <w:rFonts w:ascii="Times New Roman" w:hAnsi="Times New Roman" w:cs="Times New Roman"/>
          <w:lang w:val="en-US"/>
        </w:rPr>
        <w:t xml:space="preserve"> 16-16-70006</w:t>
      </w:r>
      <w:r w:rsidRPr="008763A1">
        <w:rPr>
          <w:rFonts w:ascii="Times New Roman" w:hAnsi="Times New Roman" w:cs="Times New Roman"/>
          <w:lang w:val="en-US"/>
        </w:rPr>
        <w:t>)</w:t>
      </w:r>
      <w:r>
        <w:rPr>
          <w:rFonts w:ascii="Times New Roman" w:hAnsi="Times New Roman" w:cs="Times New Roman"/>
          <w:lang w:val="en-US"/>
        </w:rPr>
        <w:t xml:space="preserve"> and RFBR, according to the research project No. 16-38-60146 mol_a_dk</w:t>
      </w:r>
      <w:r w:rsidRPr="008763A1">
        <w:rPr>
          <w:rFonts w:ascii="Times New Roman" w:hAnsi="Times New Roman" w:cs="Times New Roman"/>
          <w:lang w:val="en-US"/>
        </w:rPr>
        <w:t>.</w:t>
      </w:r>
    </w:p>
    <w:p w14:paraId="775AEB79" w14:textId="77777777" w:rsidR="007777EC" w:rsidRPr="003A55E6" w:rsidRDefault="007777EC" w:rsidP="00370012">
      <w:pPr>
        <w:pStyle w:val="Sectionnonumber"/>
        <w:rPr>
          <w:rFonts w:ascii="Times New Roman" w:hAnsi="Times New Roman" w:cs="Times New Roman"/>
        </w:rPr>
      </w:pPr>
      <w:r w:rsidRPr="003A55E6">
        <w:rPr>
          <w:rFonts w:ascii="Times New Roman" w:hAnsi="Times New Roman" w:cs="Times New Roman"/>
        </w:rPr>
        <w:t>References</w:t>
      </w:r>
    </w:p>
    <w:p w14:paraId="76086D13"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Oh J C, Yun E, Golkovski M G and Lee S 2003 </w:t>
      </w:r>
      <w:r w:rsidRPr="006B3642">
        <w:rPr>
          <w:rFonts w:ascii="Times New Roman" w:hAnsi="Times New Roman" w:cs="Times New Roman"/>
          <w:i/>
          <w:iCs/>
          <w:lang w:val="en-US"/>
        </w:rPr>
        <w:t>Mater. Sci. Eng. A</w:t>
      </w:r>
      <w:r w:rsidRPr="006B3642">
        <w:rPr>
          <w:rFonts w:ascii="Times New Roman" w:hAnsi="Times New Roman" w:cs="Times New Roman"/>
          <w:lang w:val="en-US"/>
        </w:rPr>
        <w:t xml:space="preserve"> </w:t>
      </w:r>
      <w:r w:rsidRPr="006B3642">
        <w:rPr>
          <w:rFonts w:ascii="Times New Roman" w:hAnsi="Times New Roman" w:cs="Times New Roman"/>
          <w:b/>
          <w:bCs/>
          <w:lang w:val="en-US"/>
        </w:rPr>
        <w:t>351</w:t>
      </w:r>
      <w:r w:rsidRPr="006B3642">
        <w:rPr>
          <w:rFonts w:ascii="Times New Roman" w:hAnsi="Times New Roman" w:cs="Times New Roman"/>
          <w:lang w:val="en-US"/>
        </w:rPr>
        <w:t xml:space="preserve"> 98-108</w:t>
      </w:r>
    </w:p>
    <w:p w14:paraId="3C4D764D"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Yilbas B S, Patel F and Karatas C 2015 Laser Surface Engineering Waugh J.L.G. Woodhead Publishing 97-105</w:t>
      </w:r>
    </w:p>
    <w:p w14:paraId="02C04051"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Stepanova N V, Razumakov A A 2013 </w:t>
      </w:r>
      <w:r w:rsidRPr="006B3642">
        <w:rPr>
          <w:rFonts w:ascii="Times New Roman" w:hAnsi="Times New Roman" w:cs="Times New Roman"/>
          <w:i/>
          <w:iCs/>
          <w:lang w:val="en-US"/>
        </w:rPr>
        <w:t>The 8 international forum on strategic technologies (IFOST 2013)</w:t>
      </w:r>
      <w:r w:rsidRPr="006B3642">
        <w:rPr>
          <w:rFonts w:ascii="Times New Roman" w:hAnsi="Times New Roman" w:cs="Times New Roman"/>
          <w:lang w:val="en-US"/>
        </w:rPr>
        <w:t xml:space="preserve"> </w:t>
      </w:r>
      <w:r w:rsidRPr="006B3642">
        <w:rPr>
          <w:rFonts w:ascii="Times New Roman" w:hAnsi="Times New Roman" w:cs="Times New Roman"/>
          <w:b/>
          <w:bCs/>
          <w:lang w:val="en-US"/>
        </w:rPr>
        <w:t>1</w:t>
      </w:r>
      <w:r w:rsidRPr="006B3642">
        <w:rPr>
          <w:rFonts w:ascii="Times New Roman" w:hAnsi="Times New Roman" w:cs="Times New Roman"/>
          <w:lang w:val="en-US"/>
        </w:rPr>
        <w:t xml:space="preserve"> 240–242</w:t>
      </w:r>
    </w:p>
    <w:p w14:paraId="24701CD3"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Rogachev A S, Shkodich N F, Vadchenko S G, Baras F, Chassagnon R, Sachkova N V, and Boyarchenko O D 2013 </w:t>
      </w:r>
      <w:r w:rsidRPr="006B3642">
        <w:rPr>
          <w:rFonts w:ascii="Times New Roman" w:hAnsi="Times New Roman" w:cs="Times New Roman"/>
          <w:i/>
          <w:iCs/>
          <w:lang w:val="en-US"/>
        </w:rPr>
        <w:t>Int. J. Self-Propag. High-Temp. Synth</w:t>
      </w:r>
      <w:r w:rsidRPr="006B3642">
        <w:rPr>
          <w:rFonts w:ascii="Times New Roman" w:hAnsi="Times New Roman" w:cs="Times New Roman"/>
          <w:lang w:val="en-US"/>
        </w:rPr>
        <w:t xml:space="preserve">. </w:t>
      </w:r>
      <w:r w:rsidRPr="006B3642">
        <w:rPr>
          <w:rFonts w:ascii="Times New Roman" w:hAnsi="Times New Roman" w:cs="Times New Roman"/>
          <w:b/>
          <w:bCs/>
          <w:lang w:val="en-US"/>
        </w:rPr>
        <w:t>22(4)</w:t>
      </w:r>
      <w:r w:rsidRPr="006B3642">
        <w:rPr>
          <w:rFonts w:ascii="Times New Roman" w:hAnsi="Times New Roman" w:cs="Times New Roman"/>
          <w:lang w:val="en-US"/>
        </w:rPr>
        <w:t xml:space="preserve"> 210–216</w:t>
      </w:r>
    </w:p>
    <w:p w14:paraId="7C0E835F"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Bataev I A, Bataev A A, Mali V I, Pavliukova D V 2012  </w:t>
      </w:r>
      <w:r w:rsidRPr="006B3642">
        <w:rPr>
          <w:rFonts w:ascii="Times New Roman" w:hAnsi="Times New Roman" w:cs="Times New Roman"/>
          <w:i/>
          <w:iCs/>
          <w:lang w:val="en-US"/>
        </w:rPr>
        <w:t>Materials and Design</w:t>
      </w:r>
      <w:r w:rsidRPr="006B3642">
        <w:rPr>
          <w:rFonts w:ascii="Times New Roman" w:hAnsi="Times New Roman" w:cs="Times New Roman"/>
          <w:lang w:val="en-US"/>
        </w:rPr>
        <w:t xml:space="preserve"> </w:t>
      </w:r>
      <w:r w:rsidRPr="006B3642">
        <w:rPr>
          <w:rFonts w:ascii="Times New Roman" w:hAnsi="Times New Roman" w:cs="Times New Roman"/>
          <w:b/>
          <w:bCs/>
          <w:lang w:val="en-US"/>
        </w:rPr>
        <w:t>35</w:t>
      </w:r>
      <w:r w:rsidRPr="006B3642">
        <w:rPr>
          <w:rFonts w:ascii="Times New Roman" w:hAnsi="Times New Roman" w:cs="Times New Roman"/>
          <w:lang w:val="en-US"/>
        </w:rPr>
        <w:t> 225–234</w:t>
      </w:r>
    </w:p>
    <w:p w14:paraId="53D2D79C" w14:textId="77777777"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Bernard F and Gaffet E 2001 </w:t>
      </w:r>
      <w:r w:rsidRPr="006B3642">
        <w:rPr>
          <w:rFonts w:ascii="Times New Roman" w:hAnsi="Times New Roman" w:cs="Times New Roman"/>
          <w:i/>
          <w:iCs/>
          <w:lang w:val="en-US"/>
        </w:rPr>
        <w:t xml:space="preserve">Int. J. Self-Propag. High-Temp. Synth. </w:t>
      </w:r>
      <w:r w:rsidRPr="006B3642">
        <w:rPr>
          <w:rFonts w:ascii="Times New Roman" w:hAnsi="Times New Roman" w:cs="Times New Roman"/>
          <w:b/>
          <w:bCs/>
          <w:lang w:val="en-US"/>
        </w:rPr>
        <w:t>10(2)</w:t>
      </w:r>
      <w:r w:rsidRPr="006B3642">
        <w:rPr>
          <w:rFonts w:ascii="Times New Roman" w:hAnsi="Times New Roman" w:cs="Times New Roman"/>
          <w:lang w:val="en-US"/>
        </w:rPr>
        <w:t xml:space="preserve"> 109–132</w:t>
      </w:r>
    </w:p>
    <w:p w14:paraId="5AA65E80" w14:textId="77777777" w:rsidR="007777EC" w:rsidRPr="006B3642" w:rsidRDefault="007777EC" w:rsidP="00CD4047">
      <w:pPr>
        <w:pStyle w:val="Reference"/>
        <w:numPr>
          <w:ilvl w:val="0"/>
          <w:numId w:val="0"/>
        </w:numPr>
        <w:rPr>
          <w:rFonts w:ascii="Times New Roman" w:hAnsi="Times New Roman" w:cs="Times New Roman"/>
          <w:lang w:val="en-US"/>
        </w:rPr>
      </w:pPr>
    </w:p>
    <w:sectPr w:rsidR="007777EC" w:rsidRPr="006B3642" w:rsidSect="00421582">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DA02" w14:textId="77777777" w:rsidR="00D46929" w:rsidRDefault="00D46929">
      <w:r>
        <w:separator/>
      </w:r>
    </w:p>
  </w:endnote>
  <w:endnote w:type="continuationSeparator" w:id="0">
    <w:p w14:paraId="4B7474C6" w14:textId="77777777" w:rsidR="00D46929" w:rsidRDefault="00D4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0952" w14:textId="77777777" w:rsidR="00D46929" w:rsidRPr="00043761" w:rsidRDefault="00D46929">
      <w:pPr>
        <w:pStyle w:val="Bulleted"/>
        <w:numPr>
          <w:ilvl w:val="0"/>
          <w:numId w:val="0"/>
        </w:numPr>
        <w:rPr>
          <w:rFonts w:ascii="Sabon" w:hAnsi="Sabon" w:cs="Sabon"/>
          <w:color w:val="auto"/>
        </w:rPr>
      </w:pPr>
      <w:r>
        <w:separator/>
      </w:r>
    </w:p>
  </w:footnote>
  <w:footnote w:type="continuationSeparator" w:id="0">
    <w:p w14:paraId="406A4600" w14:textId="77777777" w:rsidR="00D46929" w:rsidRDefault="00D4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24A8" w14:textId="77777777" w:rsidR="007777EC" w:rsidRDefault="007777EC"/>
  <w:p w14:paraId="260D340C" w14:textId="77777777" w:rsidR="007777EC" w:rsidRDefault="007777EC"/>
  <w:p w14:paraId="6392834E" w14:textId="77777777" w:rsidR="007777EC" w:rsidRDefault="007777EC"/>
  <w:p w14:paraId="06C4241A" w14:textId="77777777" w:rsidR="007777EC" w:rsidRDefault="007777EC"/>
  <w:p w14:paraId="2DA9A7FA" w14:textId="77777777" w:rsidR="007777EC" w:rsidRDefault="007777EC"/>
  <w:p w14:paraId="609DF3F1" w14:textId="77777777" w:rsidR="007777EC" w:rsidRDefault="00777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D6C5F2E"/>
    <w:lvl w:ilvl="0">
      <w:start w:val="1"/>
      <w:numFmt w:val="decimal"/>
      <w:pStyle w:val="Section"/>
      <w:suff w:val="nothing"/>
      <w:lvlText w:val="%1.  "/>
      <w:lvlJc w:val="left"/>
      <w:pPr>
        <w:ind w:left="3545"/>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D7A2419"/>
    <w:multiLevelType w:val="hybridMultilevel"/>
    <w:tmpl w:val="F4A02FBA"/>
    <w:lvl w:ilvl="0" w:tplc="4036E028">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CE5D00"/>
    <w:multiLevelType w:val="multilevel"/>
    <w:tmpl w:val="04090023"/>
    <w:lvl w:ilvl="0">
      <w:start w:val="1"/>
      <w:numFmt w:val="upperRoman"/>
      <w:pStyle w:val="1"/>
      <w:lvlText w:val="Article %1."/>
      <w:lvlJc w:val="left"/>
      <w:pPr>
        <w:tabs>
          <w:tab w:val="num" w:pos="1440"/>
        </w:tabs>
      </w:pPr>
    </w:lvl>
    <w:lvl w:ilvl="1">
      <w:start w:val="1"/>
      <w:numFmt w:val="decimalZero"/>
      <w:pStyle w:val="2"/>
      <w:isLgl/>
      <w:lvlText w:val="Section %1.%2"/>
      <w:lvlJc w:val="left"/>
      <w:pPr>
        <w:tabs>
          <w:tab w:val="num" w:pos="108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70695"/>
    <w:rsid w:val="001735FE"/>
    <w:rsid w:val="00176516"/>
    <w:rsid w:val="0018382E"/>
    <w:rsid w:val="001B2794"/>
    <w:rsid w:val="001D030F"/>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634EF"/>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432B6"/>
    <w:rsid w:val="00455E2E"/>
    <w:rsid w:val="00461C19"/>
    <w:rsid w:val="00465861"/>
    <w:rsid w:val="00494B0C"/>
    <w:rsid w:val="004A2DDE"/>
    <w:rsid w:val="004B084A"/>
    <w:rsid w:val="004C4148"/>
    <w:rsid w:val="004C6FC7"/>
    <w:rsid w:val="004E4010"/>
    <w:rsid w:val="004F0670"/>
    <w:rsid w:val="004F5528"/>
    <w:rsid w:val="004F5D30"/>
    <w:rsid w:val="005046F2"/>
    <w:rsid w:val="00521CC0"/>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642"/>
    <w:rsid w:val="006B3E36"/>
    <w:rsid w:val="006C129A"/>
    <w:rsid w:val="006C2ED9"/>
    <w:rsid w:val="006E1591"/>
    <w:rsid w:val="006F1602"/>
    <w:rsid w:val="00711975"/>
    <w:rsid w:val="00747A08"/>
    <w:rsid w:val="00766106"/>
    <w:rsid w:val="0077387F"/>
    <w:rsid w:val="007777EC"/>
    <w:rsid w:val="00783BF0"/>
    <w:rsid w:val="007B2088"/>
    <w:rsid w:val="007B614F"/>
    <w:rsid w:val="007C2B62"/>
    <w:rsid w:val="007C38DA"/>
    <w:rsid w:val="007C54AB"/>
    <w:rsid w:val="007D36A1"/>
    <w:rsid w:val="007D7797"/>
    <w:rsid w:val="007D7B06"/>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43B2"/>
    <w:rsid w:val="008A5CD3"/>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0DE0"/>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15E"/>
    <w:rsid w:val="00A5670B"/>
    <w:rsid w:val="00A5728E"/>
    <w:rsid w:val="00A573C3"/>
    <w:rsid w:val="00A62FA7"/>
    <w:rsid w:val="00A63EBF"/>
    <w:rsid w:val="00A65772"/>
    <w:rsid w:val="00A7305C"/>
    <w:rsid w:val="00A83FDB"/>
    <w:rsid w:val="00A9316E"/>
    <w:rsid w:val="00AA21FD"/>
    <w:rsid w:val="00AA31FB"/>
    <w:rsid w:val="00AA35A5"/>
    <w:rsid w:val="00AA4D3A"/>
    <w:rsid w:val="00AC3382"/>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40108"/>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46929"/>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D26F1"/>
    <w:rsid w:val="00EE0EFA"/>
    <w:rsid w:val="00EE7CFB"/>
    <w:rsid w:val="00EF0C84"/>
    <w:rsid w:val="00EF36B8"/>
    <w:rsid w:val="00F02DC2"/>
    <w:rsid w:val="00F15D3D"/>
    <w:rsid w:val="00F25197"/>
    <w:rsid w:val="00F37557"/>
    <w:rsid w:val="00F728C4"/>
    <w:rsid w:val="00F8082C"/>
    <w:rsid w:val="00F84D74"/>
    <w:rsid w:val="00F8658B"/>
    <w:rsid w:val="00F94E8A"/>
    <w:rsid w:val="00FA4356"/>
    <w:rsid w:val="00FC4C6F"/>
    <w:rsid w:val="00FD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91BAB"/>
  <w15:docId w15:val="{3F79BD12-9366-4161-B098-D0568504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582"/>
    <w:rPr>
      <w:rFonts w:ascii="Times" w:hAnsi="Times" w:cs="Times"/>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cs="Times New Roman"/>
      <w:b/>
      <w:bCs/>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b/>
      <w:bCs/>
    </w:rPr>
  </w:style>
  <w:style w:type="paragraph" w:styleId="7">
    <w:name w:val="heading 7"/>
    <w:basedOn w:val="a"/>
    <w:next w:val="a"/>
    <w:link w:val="70"/>
    <w:uiPriority w:val="99"/>
    <w:qFormat/>
    <w:rsid w:val="00421582"/>
    <w:pPr>
      <w:numPr>
        <w:ilvl w:val="6"/>
        <w:numId w:val="1"/>
      </w:numPr>
      <w:spacing w:before="240" w:after="60"/>
      <w:outlineLvl w:val="6"/>
    </w:pPr>
    <w:rPr>
      <w:sz w:val="24"/>
      <w:szCs w:val="24"/>
    </w:rPr>
  </w:style>
  <w:style w:type="paragraph" w:styleId="8">
    <w:name w:val="heading 8"/>
    <w:basedOn w:val="a"/>
    <w:next w:val="a"/>
    <w:link w:val="80"/>
    <w:uiPriority w:val="99"/>
    <w:qFormat/>
    <w:rsid w:val="00421582"/>
    <w:pPr>
      <w:numPr>
        <w:ilvl w:val="7"/>
        <w:numId w:val="1"/>
      </w:numPr>
      <w:spacing w:before="240" w:after="60"/>
      <w:outlineLvl w:val="7"/>
    </w:pPr>
    <w:rPr>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DAA"/>
    <w:rPr>
      <w:rFonts w:ascii="Cambria" w:hAnsi="Cambria" w:cs="Cambria"/>
      <w:b/>
      <w:bCs/>
      <w:kern w:val="32"/>
      <w:sz w:val="32"/>
      <w:szCs w:val="32"/>
      <w:lang w:val="en-GB" w:eastAsia="en-US"/>
    </w:rPr>
  </w:style>
  <w:style w:type="character" w:customStyle="1" w:styleId="20">
    <w:name w:val="Заголовок 2 Знак"/>
    <w:basedOn w:val="a0"/>
    <w:link w:val="2"/>
    <w:uiPriority w:val="99"/>
    <w:semiHidden/>
    <w:rsid w:val="00DD4DAA"/>
    <w:rPr>
      <w:rFonts w:ascii="Cambria" w:hAnsi="Cambria" w:cs="Cambria"/>
      <w:b/>
      <w:bCs/>
      <w:i/>
      <w:iCs/>
      <w:sz w:val="28"/>
      <w:szCs w:val="28"/>
      <w:lang w:val="en-GB" w:eastAsia="en-US"/>
    </w:rPr>
  </w:style>
  <w:style w:type="character" w:customStyle="1" w:styleId="30">
    <w:name w:val="Заголовок 3 Знак"/>
    <w:basedOn w:val="a0"/>
    <w:link w:val="3"/>
    <w:uiPriority w:val="99"/>
    <w:semiHidden/>
    <w:rsid w:val="00DD4DAA"/>
    <w:rPr>
      <w:rFonts w:ascii="Cambria" w:hAnsi="Cambria" w:cs="Cambria"/>
      <w:b/>
      <w:bCs/>
      <w:sz w:val="26"/>
      <w:szCs w:val="26"/>
      <w:lang w:val="en-GB" w:eastAsia="en-US"/>
    </w:rPr>
  </w:style>
  <w:style w:type="character" w:customStyle="1" w:styleId="40">
    <w:name w:val="Заголовок 4 Знак"/>
    <w:basedOn w:val="a0"/>
    <w:link w:val="4"/>
    <w:uiPriority w:val="99"/>
    <w:semiHidden/>
    <w:rsid w:val="00DD4DAA"/>
    <w:rPr>
      <w:rFonts w:ascii="Calibri" w:hAnsi="Calibri" w:cs="Calibri"/>
      <w:b/>
      <w:bCs/>
      <w:sz w:val="28"/>
      <w:szCs w:val="28"/>
      <w:lang w:val="en-GB" w:eastAsia="en-US"/>
    </w:rPr>
  </w:style>
  <w:style w:type="character" w:customStyle="1" w:styleId="50">
    <w:name w:val="Заголовок 5 Знак"/>
    <w:basedOn w:val="a0"/>
    <w:link w:val="5"/>
    <w:uiPriority w:val="99"/>
    <w:semiHidden/>
    <w:rsid w:val="00DD4DAA"/>
    <w:rPr>
      <w:rFonts w:ascii="Calibri" w:hAnsi="Calibri" w:cs="Calibri"/>
      <w:b/>
      <w:bCs/>
      <w:i/>
      <w:iCs/>
      <w:sz w:val="26"/>
      <w:szCs w:val="26"/>
      <w:lang w:val="en-GB" w:eastAsia="en-US"/>
    </w:rPr>
  </w:style>
  <w:style w:type="character" w:customStyle="1" w:styleId="60">
    <w:name w:val="Заголовок 6 Знак"/>
    <w:basedOn w:val="a0"/>
    <w:link w:val="6"/>
    <w:uiPriority w:val="99"/>
    <w:semiHidden/>
    <w:rsid w:val="00DD4DAA"/>
    <w:rPr>
      <w:rFonts w:ascii="Calibri" w:hAnsi="Calibri" w:cs="Calibri"/>
      <w:b/>
      <w:bCs/>
      <w:lang w:val="en-GB" w:eastAsia="en-US"/>
    </w:rPr>
  </w:style>
  <w:style w:type="character" w:customStyle="1" w:styleId="70">
    <w:name w:val="Заголовок 7 Знак"/>
    <w:basedOn w:val="a0"/>
    <w:link w:val="7"/>
    <w:uiPriority w:val="99"/>
    <w:semiHidden/>
    <w:rsid w:val="00DD4DAA"/>
    <w:rPr>
      <w:rFonts w:ascii="Calibri" w:hAnsi="Calibri" w:cs="Calibri"/>
      <w:sz w:val="24"/>
      <w:szCs w:val="24"/>
      <w:lang w:val="en-GB" w:eastAsia="en-US"/>
    </w:rPr>
  </w:style>
  <w:style w:type="character" w:customStyle="1" w:styleId="80">
    <w:name w:val="Заголовок 8 Знак"/>
    <w:basedOn w:val="a0"/>
    <w:link w:val="8"/>
    <w:uiPriority w:val="99"/>
    <w:semiHidden/>
    <w:rsid w:val="00DD4DAA"/>
    <w:rPr>
      <w:rFonts w:ascii="Calibri" w:hAnsi="Calibri" w:cs="Calibri"/>
      <w:i/>
      <w:iCs/>
      <w:sz w:val="24"/>
      <w:szCs w:val="24"/>
      <w:lang w:val="en-GB" w:eastAsia="en-US"/>
    </w:rPr>
  </w:style>
  <w:style w:type="character" w:customStyle="1" w:styleId="90">
    <w:name w:val="Заголовок 9 Знак"/>
    <w:basedOn w:val="a0"/>
    <w:link w:val="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pPr>
    <w:rPr>
      <w:rFonts w:ascii="Times" w:hAnsi="Times" w:cs="Times"/>
      <w:b/>
      <w:bCs/>
      <w:color w:val="000000"/>
      <w:lang w:val="en-GB" w:eastAsia="en-US"/>
    </w:rPr>
  </w:style>
  <w:style w:type="paragraph" w:styleId="a3">
    <w:name w:val="footnote text"/>
    <w:basedOn w:val="a"/>
    <w:link w:val="a4"/>
    <w:uiPriority w:val="99"/>
    <w:semiHidden/>
    <w:rsid w:val="00421582"/>
    <w:rPr>
      <w:sz w:val="20"/>
      <w:szCs w:val="20"/>
    </w:rPr>
  </w:style>
  <w:style w:type="character" w:customStyle="1" w:styleId="a4">
    <w:name w:val="Текст сноски Знак"/>
    <w:basedOn w:val="a0"/>
    <w:link w:val="a3"/>
    <w:uiPriority w:val="99"/>
    <w:semiHidden/>
    <w:rsid w:val="00DD4DAA"/>
    <w:rPr>
      <w:rFonts w:ascii="Times" w:hAnsi="Times" w:cs="Times"/>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szCs w:val="22"/>
      <w:vertAlign w:val="superscript"/>
    </w:rPr>
  </w:style>
  <w:style w:type="paragraph" w:customStyle="1" w:styleId="Bulleted">
    <w:name w:val="Bulleted"/>
    <w:uiPriority w:val="99"/>
    <w:rsid w:val="00421582"/>
    <w:pPr>
      <w:numPr>
        <w:numId w:val="2"/>
      </w:numPr>
      <w:jc w:val="both"/>
    </w:pPr>
    <w:rPr>
      <w:rFonts w:ascii="Times" w:hAnsi="Times" w:cs="Times"/>
      <w:color w:val="000000"/>
      <w:lang w:val="en-GB" w:eastAsia="en-US"/>
    </w:rPr>
  </w:style>
  <w:style w:type="paragraph" w:styleId="a6">
    <w:name w:val="endnote text"/>
    <w:basedOn w:val="a"/>
    <w:link w:val="a7"/>
    <w:uiPriority w:val="99"/>
    <w:semiHidden/>
    <w:rsid w:val="00421582"/>
    <w:rPr>
      <w:sz w:val="20"/>
      <w:szCs w:val="20"/>
    </w:rPr>
  </w:style>
  <w:style w:type="character" w:customStyle="1" w:styleId="a7">
    <w:name w:val="Текст концевой сноски Знак"/>
    <w:basedOn w:val="a0"/>
    <w:link w:val="a6"/>
    <w:uiPriority w:val="99"/>
    <w:rsid w:val="00CD4047"/>
    <w:rPr>
      <w:rFonts w:ascii="Times" w:hAnsi="Times" w:cs="Times"/>
      <w:lang w:val="en-GB" w:eastAsia="en-US"/>
    </w:rPr>
  </w:style>
  <w:style w:type="character" w:styleId="a8">
    <w:name w:val="endnote reference"/>
    <w:basedOn w:val="a0"/>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uiPriority w:val="99"/>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a9">
    <w:name w:val="page number"/>
    <w:basedOn w:val="a0"/>
    <w:uiPriority w:val="99"/>
    <w:semiHidden/>
    <w:rsid w:val="00421582"/>
  </w:style>
  <w:style w:type="paragraph" w:styleId="aa">
    <w:name w:val="Title"/>
    <w:basedOn w:val="a"/>
    <w:next w:val="Authors"/>
    <w:link w:val="ab"/>
    <w:uiPriority w:val="99"/>
    <w:qFormat/>
    <w:rsid w:val="00421582"/>
    <w:pPr>
      <w:spacing w:before="1588" w:after="567"/>
    </w:pPr>
    <w:rPr>
      <w:b/>
      <w:bCs/>
      <w:sz w:val="34"/>
      <w:szCs w:val="34"/>
    </w:rPr>
  </w:style>
  <w:style w:type="character" w:customStyle="1" w:styleId="ab">
    <w:name w:val="Заголовок Знак"/>
    <w:basedOn w:val="a0"/>
    <w:link w:val="aa"/>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uiPriority w:val="99"/>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cs="Times"/>
      <w:noProof/>
      <w:color w:val="000000"/>
      <w:lang w:val="en-GB" w:eastAsia="en-US"/>
    </w:rPr>
  </w:style>
  <w:style w:type="character" w:styleId="ac">
    <w:name w:val="Hyperlink"/>
    <w:basedOn w:val="a0"/>
    <w:uiPriority w:val="99"/>
    <w:rsid w:val="00E6674E"/>
    <w:rPr>
      <w:rFonts w:ascii="Arial" w:hAnsi="Arial" w:cs="Arial"/>
      <w:color w:val="003399"/>
      <w:u w:val="none"/>
      <w:effect w:val="none"/>
    </w:rPr>
  </w:style>
  <w:style w:type="character" w:customStyle="1" w:styleId="apple-style-span">
    <w:name w:val="apple-style-span"/>
    <w:basedOn w:val="a0"/>
    <w:uiPriority w:val="99"/>
    <w:rsid w:val="002C5388"/>
  </w:style>
  <w:style w:type="character" w:customStyle="1" w:styleId="apple-converted-space">
    <w:name w:val="apple-converted-space"/>
    <w:basedOn w:val="a0"/>
    <w:uiPriority w:val="99"/>
    <w:rsid w:val="00B3116D"/>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A31FB"/>
    <w:rPr>
      <w:rFonts w:ascii="Courier New" w:hAnsi="Courier New" w:cs="Courier New"/>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rsid w:val="001735FE"/>
    <w:rPr>
      <w:rFonts w:ascii="Times" w:hAnsi="Times" w:cs="Times"/>
      <w:sz w:val="22"/>
      <w:szCs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rsid w:val="001735FE"/>
    <w:rPr>
      <w:rFonts w:ascii="Times" w:hAnsi="Times" w:cs="Times"/>
      <w:sz w:val="22"/>
      <w:szCs w:val="22"/>
      <w:lang w:val="en-GB" w:eastAsia="en-US"/>
    </w:rPr>
  </w:style>
  <w:style w:type="paragraph" w:customStyle="1" w:styleId="TTPParagraph1st">
    <w:name w:val="TTP Paragraph (1st)"/>
    <w:basedOn w:val="a"/>
    <w:next w:val="a"/>
    <w:uiPriority w:val="99"/>
    <w:rsid w:val="00DA3654"/>
    <w:pPr>
      <w:autoSpaceDE w:val="0"/>
      <w:autoSpaceDN w:val="0"/>
      <w:jc w:val="both"/>
    </w:pPr>
    <w:rPr>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sz w:val="16"/>
      <w:szCs w:val="16"/>
    </w:rPr>
  </w:style>
  <w:style w:type="paragraph" w:styleId="af5">
    <w:name w:val="annotation text"/>
    <w:basedOn w:val="a"/>
    <w:link w:val="af6"/>
    <w:uiPriority w:val="99"/>
    <w:semiHidden/>
    <w:rsid w:val="002F0AF2"/>
    <w:rPr>
      <w:sz w:val="20"/>
      <w:szCs w:val="20"/>
    </w:rPr>
  </w:style>
  <w:style w:type="character" w:customStyle="1" w:styleId="af6">
    <w:name w:val="Текст примечания Знак"/>
    <w:basedOn w:val="a0"/>
    <w:link w:val="af5"/>
    <w:uiPriority w:val="99"/>
    <w:semiHidden/>
    <w:rsid w:val="002F0AF2"/>
    <w:rPr>
      <w:rFonts w:ascii="Times" w:hAnsi="Times" w:cs="Times"/>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rsid w:val="002F0AF2"/>
    <w:rPr>
      <w:rFonts w:ascii="Times" w:hAnsi="Times" w:cs="Times"/>
      <w:b/>
      <w:bCs/>
      <w:lang w:val="en-GB" w:eastAsia="en-U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sz w:val="28"/>
      <w:szCs w:val="28"/>
      <w:lang w:val="en-US"/>
    </w:rPr>
  </w:style>
  <w:style w:type="character" w:customStyle="1" w:styleId="afa">
    <w:name w:val="Основной текст Знак"/>
    <w:basedOn w:val="a0"/>
    <w:link w:val="af9"/>
    <w:uiPriority w:val="99"/>
    <w:rsid w:val="00FD2E3C"/>
    <w:rPr>
      <w:sz w:val="28"/>
      <w:szCs w:val="28"/>
      <w:lang w:val="en-US" w:eastAsia="en-US"/>
    </w:rPr>
  </w:style>
  <w:style w:type="paragraph" w:customStyle="1" w:styleId="TableParagraph">
    <w:name w:val="Table Paragraph"/>
    <w:basedOn w:val="a"/>
    <w:uiPriority w:val="99"/>
    <w:rsid w:val="00FD2E3C"/>
    <w:pPr>
      <w:widowControl w:val="0"/>
    </w:pPr>
    <w:rPr>
      <w:rFonts w:ascii="Calibri" w:hAnsi="Calibri" w:cs="Calibri"/>
      <w:lang w:val="en-US"/>
    </w:rPr>
  </w:style>
  <w:style w:type="paragraph" w:customStyle="1" w:styleId="BodyChar">
    <w:name w:val="Body Char"/>
    <w:link w:val="BodyCharChar"/>
    <w:uiPriority w:val="99"/>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uiPriority w:val="99"/>
    <w:rsid w:val="00F15D3D"/>
    <w:rPr>
      <w:rFonts w:ascii="Times" w:hAnsi="Times" w:cs="Times"/>
      <w:color w:val="000000"/>
      <w:sz w:val="22"/>
      <w:szCs w:val="22"/>
      <w:lang w:val="en-GB" w:eastAsia="en-US"/>
    </w:rPr>
  </w:style>
  <w:style w:type="paragraph" w:customStyle="1" w:styleId="subsection0">
    <w:name w:val="subsection"/>
    <w:uiPriority w:val="99"/>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uiPriority w:val="99"/>
    <w:rsid w:val="00DF75CB"/>
    <w:rPr>
      <w:rFonts w:ascii="Times" w:hAnsi="Times" w:cs="Times"/>
      <w:b/>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JPCSA4Template.dot</Template>
  <TotalTime>5</TotalTime>
  <Pages>3</Pages>
  <Words>1321</Words>
  <Characters>7530</Characters>
  <Application>Microsoft Office Word</Application>
  <DocSecurity>0</DocSecurity>
  <Lines>62</Lines>
  <Paragraphs>17</Paragraphs>
  <ScaleCrop>false</ScaleCrop>
  <Company>IOP Publishing</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comp</dc:creator>
  <cp:keywords>open access, proceedings, template, fast, affordable, flexible</cp:keywords>
  <dc:description/>
  <cp:lastModifiedBy>User</cp:lastModifiedBy>
  <cp:revision>3</cp:revision>
  <cp:lastPrinted>2005-02-25T04:52:00Z</cp:lastPrinted>
  <dcterms:created xsi:type="dcterms:W3CDTF">2021-08-19T15:13:00Z</dcterms:created>
  <dcterms:modified xsi:type="dcterms:W3CDTF">2021-08-19T17:18:00Z</dcterms:modified>
</cp:coreProperties>
</file>